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FEB" w:rsidRPr="009F6FEB" w:rsidRDefault="009F6FEB" w:rsidP="009F6FEB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4"/>
          <w:szCs w:val="24"/>
        </w:rPr>
      </w:pPr>
      <w:r w:rsidRPr="009F6FEB">
        <w:rPr>
          <w:rFonts w:ascii="Arial-BoldMT" w:hAnsi="Arial-BoldMT" w:cs="Arial-BoldMT"/>
          <w:bCs/>
          <w:sz w:val="24"/>
          <w:szCs w:val="24"/>
        </w:rPr>
        <w:t>Umweltgutachten 2012</w:t>
      </w:r>
      <w:r w:rsidRPr="009F6FEB">
        <w:rPr>
          <w:rFonts w:ascii="Arial-BoldMT" w:hAnsi="Arial-BoldMT" w:cs="Arial-BoldMT"/>
          <w:bCs/>
          <w:sz w:val="24"/>
          <w:szCs w:val="24"/>
        </w:rPr>
        <w:t xml:space="preserve"> </w:t>
      </w:r>
      <w:r w:rsidRPr="009F6FEB">
        <w:rPr>
          <w:rFonts w:ascii="Arial-BoldMT" w:hAnsi="Arial-BoldMT" w:cs="Arial-BoldMT"/>
          <w:bCs/>
          <w:sz w:val="24"/>
          <w:szCs w:val="24"/>
        </w:rPr>
        <w:t>des Sachverständigenrates für Umweltfragen</w:t>
      </w:r>
    </w:p>
    <w:p w:rsidR="009F6FEB" w:rsidRDefault="009F6FEB" w:rsidP="009F6FEB">
      <w:pP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  <w:sz w:val="24"/>
          <w:szCs w:val="24"/>
        </w:rPr>
        <w:t>Verantwortung in einer begrenzten Welt</w:t>
      </w:r>
    </w:p>
    <w:p w:rsidR="009F6FEB" w:rsidRDefault="009F6FEB" w:rsidP="009F6FEB">
      <w:pPr>
        <w:autoSpaceDE w:val="0"/>
        <w:autoSpaceDN w:val="0"/>
        <w:adjustRightInd w:val="0"/>
        <w:spacing w:after="0"/>
        <w:rPr>
          <w:rFonts w:ascii="TimesNewRoman" w:hAnsi="TimesNewRoman" w:cs="TimesNewRoman"/>
          <w:lang w:val="en-US"/>
        </w:rPr>
      </w:pPr>
    </w:p>
    <w:p w:rsidR="009F6FEB" w:rsidRPr="009F6FEB" w:rsidRDefault="009F6FEB" w:rsidP="009F6FEB">
      <w:pPr>
        <w:autoSpaceDE w:val="0"/>
        <w:autoSpaceDN w:val="0"/>
        <w:adjustRightInd w:val="0"/>
        <w:spacing w:after="0"/>
        <w:rPr>
          <w:rFonts w:ascii="TimesNewRoman" w:hAnsi="TimesNewRoman" w:cs="TimesNewRoman"/>
          <w:lang w:val="en-US"/>
        </w:rPr>
      </w:pPr>
      <w:r w:rsidRPr="009F6FEB">
        <w:rPr>
          <w:rFonts w:ascii="TimesNewRoman" w:hAnsi="TimesNewRoman" w:cs="TimesNewRoman"/>
          <w:lang w:val="en-US"/>
        </w:rPr>
        <w:t xml:space="preserve">I n h a l t s v e r z e </w:t>
      </w:r>
      <w:proofErr w:type="spellStart"/>
      <w:r w:rsidRPr="009F6FEB">
        <w:rPr>
          <w:rFonts w:ascii="TimesNewRoman" w:hAnsi="TimesNewRoman" w:cs="TimesNewRoman"/>
          <w:lang w:val="en-US"/>
        </w:rPr>
        <w:t>i</w:t>
      </w:r>
      <w:proofErr w:type="spellEnd"/>
      <w:r w:rsidRPr="009F6FEB">
        <w:rPr>
          <w:rFonts w:ascii="TimesNewRoman" w:hAnsi="TimesNewRoman" w:cs="TimesNewRoman"/>
          <w:lang w:val="en-US"/>
        </w:rPr>
        <w:t xml:space="preserve"> c h n </w:t>
      </w:r>
      <w:proofErr w:type="spellStart"/>
      <w:r w:rsidRPr="009F6FEB">
        <w:rPr>
          <w:rFonts w:ascii="TimesNewRoman" w:hAnsi="TimesNewRoman" w:cs="TimesNewRoman"/>
          <w:lang w:val="en-US"/>
        </w:rPr>
        <w:t>i</w:t>
      </w:r>
      <w:proofErr w:type="spellEnd"/>
      <w:r w:rsidRPr="009F6FEB">
        <w:rPr>
          <w:rFonts w:ascii="TimesNewRoman" w:hAnsi="TimesNewRoman" w:cs="TimesNewRoman"/>
          <w:lang w:val="en-US"/>
        </w:rPr>
        <w:t xml:space="preserve"> s</w:t>
      </w:r>
    </w:p>
    <w:p w:rsidR="009F6FEB" w:rsidRDefault="009F6FEB" w:rsidP="009F6FEB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>
        <w:rPr>
          <w:rFonts w:ascii="TimesNewRomanPS-BoldMT" w:hAnsi="TimesNewRomanPS-BoldMT" w:cs="TimesNewRomanPS-BoldMT"/>
          <w:b/>
          <w:bCs/>
        </w:rPr>
        <w:t xml:space="preserve">Kurzfassung </w:t>
      </w:r>
    </w:p>
    <w:p w:rsidR="009F6FEB" w:rsidRDefault="009F6FEB" w:rsidP="009F6FEB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>
        <w:rPr>
          <w:rFonts w:ascii="TimesNewRomanPS-BoldMT" w:hAnsi="TimesNewRomanPS-BoldMT" w:cs="TimesNewRomanPS-BoldMT"/>
          <w:b/>
          <w:bCs/>
        </w:rPr>
        <w:t xml:space="preserve">0 Einführung </w:t>
      </w:r>
    </w:p>
    <w:p w:rsidR="009F6FEB" w:rsidRDefault="009F6FEB" w:rsidP="009F6FEB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1 Die neue Wachstumsdebatte </w:t>
      </w:r>
      <w:r>
        <w:rPr>
          <w:rFonts w:ascii="TimesNewRoman" w:hAnsi="TimesNewRoman" w:cs="TimesNewRoman"/>
        </w:rPr>
        <w:t xml:space="preserve">- </w:t>
      </w:r>
      <w:r>
        <w:rPr>
          <w:rFonts w:ascii="TimesNewRomanPS-BoldMT" w:hAnsi="TimesNewRomanPS-BoldMT" w:cs="TimesNewRomanPS-BoldMT"/>
          <w:b/>
          <w:bCs/>
        </w:rPr>
        <w:t>Wohlfahrt und Ressourcennutzung entkoppeln</w:t>
      </w:r>
    </w:p>
    <w:p w:rsidR="009F6FEB" w:rsidRDefault="009F6FEB" w:rsidP="009F6FEB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>
        <w:rPr>
          <w:rFonts w:ascii="TimesNewRomanPS-BoldMT" w:hAnsi="TimesNewRomanPS-BoldMT" w:cs="TimesNewRomanPS-BoldMT"/>
          <w:b/>
          <w:bCs/>
        </w:rPr>
        <w:t xml:space="preserve">2 Metallische und mineralische Rohstoffe </w:t>
      </w:r>
    </w:p>
    <w:p w:rsidR="009F6FEB" w:rsidRDefault="009F6FEB" w:rsidP="009F6FEB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>
        <w:rPr>
          <w:rFonts w:ascii="TimesNewRomanPS-BoldMT" w:hAnsi="TimesNewRomanPS-BoldMT" w:cs="TimesNewRomanPS-BoldMT"/>
          <w:b/>
          <w:bCs/>
        </w:rPr>
        <w:t xml:space="preserve">3 Lebensmittelkonsum als Gegenstand von Politik </w:t>
      </w:r>
    </w:p>
    <w:p w:rsidR="009F6FEB" w:rsidRDefault="009F6FEB" w:rsidP="009F6FEB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>
        <w:rPr>
          <w:rFonts w:ascii="TimesNewRomanPS-BoldMT" w:hAnsi="TimesNewRomanPS-BoldMT" w:cs="TimesNewRomanPS-BoldMT"/>
          <w:b/>
          <w:bCs/>
        </w:rPr>
        <w:t xml:space="preserve">4 Güterverkehr und Klimaschutz </w:t>
      </w:r>
    </w:p>
    <w:p w:rsidR="009F6FEB" w:rsidRDefault="009F6FEB" w:rsidP="009F6FEB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5 Mobilität und Lebensqualität in Ballungsräumen </w:t>
      </w:r>
      <w:r>
        <w:rPr>
          <w:rFonts w:ascii="TimesNewRomanPS-BoldMT" w:hAnsi="TimesNewRomanPS-BoldMT" w:cs="TimesNewRomanPS-BoldMT"/>
          <w:b/>
          <w:bCs/>
        </w:rPr>
        <w:t xml:space="preserve">- </w:t>
      </w:r>
      <w:r>
        <w:rPr>
          <w:rFonts w:ascii="TimesNewRomanPS-BoldMT" w:hAnsi="TimesNewRomanPS-BoldMT" w:cs="TimesNewRomanPS-BoldMT"/>
          <w:b/>
          <w:bCs/>
        </w:rPr>
        <w:t>Ökosystemleistungen aufwerten</w:t>
      </w:r>
    </w:p>
    <w:p w:rsidR="009F6FEB" w:rsidRDefault="009F6FEB" w:rsidP="009F6FEB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6 Umweltgerechte Waldnutzung </w:t>
      </w:r>
    </w:p>
    <w:p w:rsidR="009F6FEB" w:rsidRDefault="009F6FEB" w:rsidP="009F6FEB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>
        <w:rPr>
          <w:rFonts w:ascii="TimesNewRomanPS-BoldMT" w:hAnsi="TimesNewRomanPS-BoldMT" w:cs="TimesNewRomanPS-BoldMT"/>
          <w:b/>
          <w:bCs/>
        </w:rPr>
        <w:t xml:space="preserve">7 Moorböden als Kohlenstoffspeicher </w:t>
      </w:r>
    </w:p>
    <w:p w:rsidR="009F6FEB" w:rsidRDefault="009F6FEB" w:rsidP="009F6FEB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8 </w:t>
      </w:r>
      <w:proofErr w:type="spellStart"/>
      <w:r>
        <w:rPr>
          <w:rFonts w:ascii="TimesNewRomanPS-BoldMT" w:hAnsi="TimesNewRomanPS-BoldMT" w:cs="TimesNewRomanPS-BoldMT"/>
          <w:b/>
          <w:bCs/>
        </w:rPr>
        <w:t>Se</w:t>
      </w:r>
      <w:r>
        <w:rPr>
          <w:rFonts w:ascii="TimesNewRomanPS-BoldMT" w:hAnsi="TimesNewRomanPS-BoldMT" w:cs="TimesNewRomanPS-BoldMT"/>
          <w:b/>
          <w:bCs/>
        </w:rPr>
        <w:t>ktorübergreifender</w:t>
      </w:r>
      <w:proofErr w:type="spellEnd"/>
      <w:r>
        <w:rPr>
          <w:rFonts w:ascii="TimesNewRomanPS-BoldMT" w:hAnsi="TimesNewRomanPS-BoldMT" w:cs="TimesNewRomanPS-BoldMT"/>
          <w:b/>
          <w:bCs/>
        </w:rPr>
        <w:t xml:space="preserve"> Meeresschutz - </w:t>
      </w:r>
      <w:r>
        <w:rPr>
          <w:rFonts w:ascii="TimesNewRomanPS-BoldMT" w:hAnsi="TimesNewRomanPS-BoldMT" w:cs="TimesNewRomanPS-BoldMT"/>
          <w:b/>
          <w:bCs/>
        </w:rPr>
        <w:t>Integrative Konzepte stärken</w:t>
      </w:r>
    </w:p>
    <w:p w:rsidR="009F6FEB" w:rsidRDefault="009F6FEB" w:rsidP="009F6FEB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9 </w:t>
      </w:r>
      <w:proofErr w:type="gramStart"/>
      <w:r>
        <w:rPr>
          <w:rFonts w:ascii="TimesNewRomanPS-BoldMT" w:hAnsi="TimesNewRomanPS-BoldMT" w:cs="TimesNewRomanPS-BoldMT"/>
          <w:b/>
          <w:bCs/>
        </w:rPr>
        <w:t>Integrierter</w:t>
      </w:r>
      <w:proofErr w:type="gramEnd"/>
      <w:r>
        <w:rPr>
          <w:rFonts w:ascii="TimesNewRomanPS-BoldMT" w:hAnsi="TimesNewRomanPS-BoldMT" w:cs="TimesNewRomanPS-BoldMT"/>
          <w:b/>
          <w:bCs/>
        </w:rPr>
        <w:t xml:space="preserve"> Umweltschutz am Beispiel des Anlagenzulassungsrechts</w:t>
      </w:r>
    </w:p>
    <w:p w:rsidR="009F6FEB" w:rsidRDefault="009F6FEB" w:rsidP="009F6FEB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>
        <w:rPr>
          <w:rFonts w:ascii="TimesNewRomanPS-BoldMT" w:hAnsi="TimesNewRomanPS-BoldMT" w:cs="TimesNewRomanPS-BoldMT"/>
          <w:b/>
          <w:bCs/>
        </w:rPr>
        <w:t xml:space="preserve">10 Medienübergreifendes Monitoring </w:t>
      </w:r>
    </w:p>
    <w:p w:rsidR="009F6FEB" w:rsidRDefault="009F6FEB" w:rsidP="009F6FEB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>
        <w:rPr>
          <w:rFonts w:ascii="TimesNewRomanPS-BoldMT" w:hAnsi="TimesNewRomanPS-BoldMT" w:cs="TimesNewRomanPS-BoldMT"/>
          <w:b/>
          <w:bCs/>
        </w:rPr>
        <w:t>11 Ökologische Grenzen einhalten – eine Herausforderung</w:t>
      </w:r>
      <w:r>
        <w:rPr>
          <w:rFonts w:ascii="TimesNewRomanPS-BoldMT" w:hAnsi="TimesNewRomanPS-BoldMT" w:cs="TimesNewRomanPS-BoldMT"/>
          <w:b/>
          <w:bCs/>
        </w:rPr>
        <w:t xml:space="preserve"> </w:t>
      </w:r>
      <w:r>
        <w:rPr>
          <w:rFonts w:ascii="TimesNewRomanPS-BoldMT" w:hAnsi="TimesNewRomanPS-BoldMT" w:cs="TimesNewRomanPS-BoldMT"/>
          <w:b/>
          <w:bCs/>
        </w:rPr>
        <w:t xml:space="preserve">für politische Strategien </w:t>
      </w:r>
    </w:p>
    <w:p w:rsidR="009F6FEB" w:rsidRDefault="009F6FEB" w:rsidP="00C87A41">
      <w:pPr>
        <w:rPr>
          <w:rFonts w:ascii="Arial-BoldMT" w:hAnsi="Arial-BoldMT" w:cs="Arial-BoldMT"/>
          <w:b/>
          <w:bCs/>
          <w:sz w:val="19"/>
          <w:szCs w:val="19"/>
        </w:rPr>
      </w:pPr>
    </w:p>
    <w:p w:rsidR="009F6FEB" w:rsidRDefault="009F6FEB" w:rsidP="009F6FEB">
      <w:pPr>
        <w:rPr>
          <w:rFonts w:ascii="Arial-BoldMT" w:hAnsi="Arial-BoldMT" w:cs="Arial-BoldMT"/>
          <w:b/>
          <w:bCs/>
        </w:rPr>
      </w:pPr>
      <w:r w:rsidRPr="00C87A41">
        <w:rPr>
          <w:rFonts w:ascii="Arial-BoldMT" w:hAnsi="Arial-BoldMT" w:cs="Arial-BoldMT"/>
          <w:b/>
          <w:bCs/>
        </w:rPr>
        <w:t>Kurzfassung</w:t>
      </w:r>
    </w:p>
    <w:p w:rsidR="00C87A41" w:rsidRDefault="00C87A41" w:rsidP="00C87A41">
      <w:pPr>
        <w:rPr>
          <w:rFonts w:ascii="TimesNewRoman" w:hAnsi="TimesNewRoman" w:cs="TimesNewRoman"/>
        </w:rPr>
      </w:pPr>
      <w:bookmarkStart w:id="0" w:name="_GoBack"/>
      <w:bookmarkEnd w:id="0"/>
      <w:r w:rsidRPr="00C87A41">
        <w:rPr>
          <w:rFonts w:ascii="Arial-BoldMT" w:hAnsi="Arial-BoldMT" w:cs="Arial-BoldMT"/>
          <w:b/>
          <w:bCs/>
          <w:sz w:val="19"/>
          <w:szCs w:val="19"/>
        </w:rPr>
        <w:t xml:space="preserve">1. </w:t>
      </w:r>
      <w:r w:rsidRPr="00C87A41">
        <w:rPr>
          <w:rFonts w:ascii="TimesNewRoman" w:hAnsi="TimesNewRoman" w:cs="TimesNewRoman"/>
        </w:rPr>
        <w:t>Die umweltpolitische Debatte wird in Zukunft mehr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und mehr durch den Leitbegriff der ökologischen Grenzen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bestimmt werden: In einer begrenzten Welt kann es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keine unbegrenzte Inanspruchnahme natürlicher Ressourcen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geben. Nachhaltiges Wirtschaften erfordert eine Entkopplung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von Wohlfahrt und Ressourcennutzung durch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grundlegende Innovationen und die Aufwertung überlebenswichtiger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Ökosystemleistungen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Im vorliegenden Umweltgutachten hat sich der Sachverständigenrat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für Umweltfragen (</w:t>
      </w:r>
      <w:proofErr w:type="spellStart"/>
      <w:r w:rsidRPr="00C87A41">
        <w:rPr>
          <w:rFonts w:ascii="TimesNewRoman" w:hAnsi="TimesNewRoman" w:cs="TimesNewRoman"/>
        </w:rPr>
        <w:t>SRU</w:t>
      </w:r>
      <w:proofErr w:type="spellEnd"/>
      <w:r w:rsidRPr="00C87A41">
        <w:rPr>
          <w:rFonts w:ascii="TimesNewRoman" w:hAnsi="TimesNewRoman" w:cs="TimesNewRoman"/>
        </w:rPr>
        <w:t>) bewusst auf wenige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Schwerpunktthemen konzentriert, für die er einen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besonderen Handlungs- oder Orientierungsbedarf sieht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oder bei denen wichtige grundlegende Weichenstellungen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bevorstehen. Mit dieser Schwerpunktsetzung betont der</w:t>
      </w:r>
      <w:r>
        <w:rPr>
          <w:rFonts w:ascii="TimesNewRoman" w:hAnsi="TimesNewRoman" w:cs="TimesNewRoman"/>
        </w:rPr>
        <w:t xml:space="preserve"> </w:t>
      </w:r>
      <w:proofErr w:type="spellStart"/>
      <w:r w:rsidRPr="00C87A41">
        <w:rPr>
          <w:rFonts w:ascii="TimesNewRoman" w:hAnsi="TimesNewRoman" w:cs="TimesNewRoman"/>
        </w:rPr>
        <w:t>SRU</w:t>
      </w:r>
      <w:proofErr w:type="spellEnd"/>
      <w:r w:rsidRPr="00C87A41">
        <w:rPr>
          <w:rFonts w:ascii="TimesNewRoman" w:hAnsi="TimesNewRoman" w:cs="TimesNewRoman"/>
        </w:rPr>
        <w:t xml:space="preserve"> die ihm übertragene Aufgabe, die Urteilsbildung aller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umweltpolitisch verantwortlichen Instanzen in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Deutschland zu erleichtern. Die Schwerpunktthemen hat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 xml:space="preserve">der </w:t>
      </w:r>
      <w:proofErr w:type="spellStart"/>
      <w:r w:rsidRPr="00C87A41">
        <w:rPr>
          <w:rFonts w:ascii="TimesNewRoman" w:hAnsi="TimesNewRoman" w:cs="TimesNewRoman"/>
        </w:rPr>
        <w:t>SRU</w:t>
      </w:r>
      <w:proofErr w:type="spellEnd"/>
      <w:r w:rsidRPr="00C87A41">
        <w:rPr>
          <w:rFonts w:ascii="TimesNewRoman" w:hAnsi="TimesNewRoman" w:cs="TimesNewRoman"/>
        </w:rPr>
        <w:t xml:space="preserve"> in einem iterativen Prozess auf der Basis eigener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Analysen sowie wichtiger Zukunftsberichte über große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Entwicklungstrends identifiziert und sie zu den drei thematischen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Clustern „Wohlfahrt und Ressourcennutzung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entkoppeln“, „Ökosystemleistungen aufwerten“ und „Integrative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Konzepte stärken“ gebündelt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PS-ItalicMT" w:hAnsi="TimesNewRomanPS-ItalicMT" w:cs="TimesNewRomanPS-ItalicMT"/>
          <w:i/>
          <w:iCs/>
        </w:rPr>
      </w:pPr>
      <w:r w:rsidRPr="00C87A41">
        <w:rPr>
          <w:rFonts w:ascii="TimesNewRomanPS-ItalicMT" w:hAnsi="TimesNewRomanPS-ItalicMT" w:cs="TimesNewRomanPS-ItalicMT"/>
          <w:i/>
          <w:iCs/>
        </w:rPr>
        <w:t>Die neue Wachstumsdebatte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Arial-BoldMT" w:hAnsi="Arial-BoldMT" w:cs="Arial-BoldMT"/>
          <w:b/>
          <w:bCs/>
          <w:sz w:val="19"/>
          <w:szCs w:val="19"/>
        </w:rPr>
        <w:t xml:space="preserve">2. </w:t>
      </w:r>
      <w:r w:rsidRPr="00C87A41">
        <w:rPr>
          <w:rFonts w:ascii="TimesNewRoman" w:hAnsi="TimesNewRoman" w:cs="TimesNewRoman"/>
        </w:rPr>
        <w:t>In Deutschland, aber auch international wird derzeit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intensiv über die grüne Wirtschaft und die Postwachstumsgesellschaft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diskutiert. Im Kern geht es darum, ob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und wie ein kontinuierliches Wirtschaftswachstum möglich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ist, ohne langfristig globale ökologische Grenzen zu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überschreiten. Ökologische Grenzüberschreitungen werden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im Falle des Klimawandels, des Verlustes von biologischer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Vielfalt, zu hoher Nährstofffrachten, der Überfischung,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der Landnahme für kommerzielle Nutzungen, der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Bodenerosion oder der Wasserknappheit bereits in etlichen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Regionen festgestellt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Die Überschreitung ökologischer Grenzen kann Umkippeffekte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mit sich bringen, die gravierende Rückwirkungen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auf Umwelt, Wirtschaft und Gesellschaft hätten. Die Einhaltung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dieser Grenzen sollte daher Priorität in der nationalen,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europäischen und internationalen Umweltdiskussion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erhalten – nicht nur im Klimaschutz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So unbestreitbar die Tatsache ist, dass ökologische Grenzen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bestehen, so anspruchsvoll ist es, sie auf den verschiedenen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räumlichen Ebenen konkret zu bestimmen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Neben naturwissenschaftlichen Erkenntnissen müssen dabei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auch normative Wertungen über gesellschaftlich akzeptable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Risiken und das erwartete Maß an Vorsorge eine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wichtige Rolle spielen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Ökologische Grenzen einzuhalten bedeutet jedoch nicht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unbedingt das Ende des Wachstums. Die Potenziale der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Entkopplung von Wohlfahrt und Ressourcennutzung sind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längst nicht ausgeschöpft, das gilt insbesondere für die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Energieversorgung. Unverzichtbar für ein Wirtschaften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innerhalb ökologischer Grenzen ist eine Innovationsstrategie,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die mit der Transformation großer Infrastrukturen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und Produktionssysteme einhergeht. Die derzeitigen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Marktpreise liefern hierfür aber aufgrund vielfältigen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Markt- und auch Staatsversagens nicht die richtigen Signale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Die staatlichen Institutionen werden – korrespondierend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zu der auch verfassungsrechtlich verankerten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 xml:space="preserve">Verantwortung (Artikel 20a GG, Artikel 191 </w:t>
      </w:r>
      <w:proofErr w:type="spellStart"/>
      <w:r w:rsidRPr="00C87A41">
        <w:rPr>
          <w:rFonts w:ascii="TimesNewRoman" w:hAnsi="TimesNewRoman" w:cs="TimesNewRoman"/>
        </w:rPr>
        <w:t>AEUV</w:t>
      </w:r>
      <w:proofErr w:type="spellEnd"/>
      <w:r w:rsidRPr="00C87A41">
        <w:rPr>
          <w:rFonts w:ascii="TimesNewRoman" w:hAnsi="TimesNewRoman" w:cs="TimesNewRoman"/>
        </w:rPr>
        <w:t>) –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auch regulativ eingreifen müssen, um Zukunftslösungen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zum Durchbruch zu verhelfen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Es ist allerdings möglich, dass selbst bei Ausnutzung aller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Potenziale einer ökologischen Transformation langfristig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Grenzen für das Wirtschaftswachstum bestehen. Aus diesem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 xml:space="preserve">Grunde ist es wichtig, frühzeitig eine </w:t>
      </w:r>
      <w:r w:rsidRPr="00C87A41">
        <w:rPr>
          <w:rFonts w:ascii="TimesNewRoman" w:hAnsi="TimesNewRoman" w:cs="TimesNewRoman"/>
        </w:rPr>
        <w:lastRenderedPageBreak/>
        <w:t>Debatte darüber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zu beginnen, wie essenzielle gesellschaftspolitische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Ziele auch ohne oder mit sehr niedrigem Wachstum erreichbar</w:t>
      </w:r>
      <w:r>
        <w:rPr>
          <w:rFonts w:ascii="TimesNewRoman" w:hAnsi="TimesNewRoman" w:cs="TimesNewRoman"/>
        </w:rPr>
        <w:t xml:space="preserve"> </w:t>
      </w:r>
      <w:proofErr w:type="gramStart"/>
      <w:r w:rsidRPr="00C87A41">
        <w:rPr>
          <w:rFonts w:ascii="TimesNewRoman" w:hAnsi="TimesNewRoman" w:cs="TimesNewRoman"/>
        </w:rPr>
        <w:t>bleiben</w:t>
      </w:r>
      <w:proofErr w:type="gramEnd"/>
      <w:r w:rsidRPr="00C87A41">
        <w:rPr>
          <w:rFonts w:ascii="TimesNewRoman" w:hAnsi="TimesNewRoman" w:cs="TimesNewRoman"/>
        </w:rPr>
        <w:t>. Zentrale Handlungsfelder dieser vorsorglichen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Debatte sind die Entschärfung von Verteilungskonflikten,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die Sicherung der Beschäftigung,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Investitionen in eine wachstumsunabhängige Wirtschaft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und die Finanzierung von Staatsausgaben und Sozialsystemen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Daneben sollte zur besseren Kommunikation der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Erreichung wohlfahrtsrelevanter Ziele auch die Messung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von Wohlfahrt neu überdacht werden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PS-BoldMT" w:hAnsi="TimesNewRomanPS-BoldMT" w:cs="TimesNewRomanPS-BoldMT"/>
          <w:b/>
          <w:bCs/>
        </w:rPr>
      </w:pPr>
      <w:r w:rsidRPr="00C87A41">
        <w:rPr>
          <w:rFonts w:ascii="TimesNewRomanPS-BoldMT" w:hAnsi="TimesNewRomanPS-BoldMT" w:cs="TimesNewRomanPS-BoldMT"/>
          <w:b/>
          <w:bCs/>
        </w:rPr>
        <w:t>Wohlfahrt und Ressourcennutzung entkoppeln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Arial-BoldMT" w:hAnsi="Arial-BoldMT" w:cs="Arial-BoldMT"/>
          <w:b/>
          <w:bCs/>
          <w:sz w:val="19"/>
          <w:szCs w:val="19"/>
        </w:rPr>
        <w:t xml:space="preserve">3. </w:t>
      </w:r>
      <w:r w:rsidRPr="00C87A41">
        <w:rPr>
          <w:rFonts w:ascii="TimesNewRoman" w:hAnsi="TimesNewRoman" w:cs="TimesNewRoman"/>
        </w:rPr>
        <w:t>Der erste Themenkomplex des Gutachtens befasst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sich mit den Potenzialen und Gestaltungsmöglichkeiten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der Entkopplung anhand von vier Themenfeldern: den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metallischen und mineralischen Rohstoffen, dem Lebensmittelkonsum,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dem Güterverkehr und der Mobilität in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Ballungsräumen. In allen vier Bereichen war ein wachsendes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Volkseinkommen bisher mit einer Zunahme umweltbelastender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Aktivitäten verbunden. Nicht zuletzt deswegen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stehen sie aktuell vor großen ökologischen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Herausforderungen. In allen diesen Bereichen bestehen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aber Möglichkeiten zur Entkopplung von Wohlfahrt und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Umweltbelastung, die darauf abzielen, die Inanspruchnahme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der Umwelt als Schadstoffsenke oder Ressource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deutlich zu verringern, ohne negative Auswirkungen auf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die wirtschaftliche Entwicklung und andere Umweltmedien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zu haben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PS-ItalicMT" w:hAnsi="TimesNewRomanPS-ItalicMT" w:cs="TimesNewRomanPS-ItalicMT"/>
          <w:i/>
          <w:iCs/>
        </w:rPr>
      </w:pPr>
      <w:r w:rsidRPr="00C87A41">
        <w:rPr>
          <w:rFonts w:ascii="TimesNewRomanPS-ItalicMT" w:hAnsi="TimesNewRomanPS-ItalicMT" w:cs="TimesNewRomanPS-ItalicMT"/>
          <w:i/>
          <w:iCs/>
        </w:rPr>
        <w:t>Metallische und mineralische Rohstoffe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Arial-BoldMT" w:hAnsi="Arial-BoldMT" w:cs="Arial-BoldMT"/>
          <w:b/>
          <w:bCs/>
          <w:sz w:val="19"/>
          <w:szCs w:val="19"/>
        </w:rPr>
        <w:t xml:space="preserve">4. </w:t>
      </w:r>
      <w:r w:rsidRPr="00C87A41">
        <w:rPr>
          <w:rFonts w:ascii="TimesNewRoman" w:hAnsi="TimesNewRoman" w:cs="TimesNewRoman"/>
        </w:rPr>
        <w:t>In der aktuellen Diskussion um abiotische, nichtenergetische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Rohstoffe steht die Versorgungssicherheit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für eine leistungsfähige Wirtschaft im Vordergrund. Die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Umweltfolgen der Rohstoffwirtschaft werden dagegen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vergleichsweise wenig zur Kenntnis genommen. Insbesondere beim Abbau von Rohstoffen finden weitreichende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Eingriffe in den Naturhaushalt statt. Die weiteren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Verarbeitungsschritte sind vielfach mit einem erheblichen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klimawirksamen Energie- und einem risikobehafteten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Chemikalieneinsatz verbunden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Eine umweltverträgliche Rohstoffwirtschaft zielt zum einen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auf eine Entkopplung von Rohstoffverbrauch und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Wohlfahrt durch mehr Effizienz, zum anderen auf die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Verminderung der Umweltauswirkungen der Rohstoffwirtschaft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Ansatzpunkte bestehen in einer deutlich gesteigerten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Kreislaufführung von Rohstoffen sowie der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Reduktion der Umweltbelastungen entlang der gesamten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Wertschöpfungskette. Eine besondere Herausforderung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für die Rohstoffwirtschaft ist die Verminderung der Umweltfolgen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der Rohstoffgewinnung, weil diese mittlerweile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weitgehend im Ausland stattfindet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 xml:space="preserve">Der </w:t>
      </w:r>
      <w:proofErr w:type="spellStart"/>
      <w:r w:rsidRPr="00C87A41">
        <w:rPr>
          <w:rFonts w:ascii="TimesNewRoman" w:hAnsi="TimesNewRoman" w:cs="TimesNewRoman"/>
        </w:rPr>
        <w:t>SRU</w:t>
      </w:r>
      <w:proofErr w:type="spellEnd"/>
      <w:r w:rsidRPr="00C87A41">
        <w:rPr>
          <w:rFonts w:ascii="TimesNewRoman" w:hAnsi="TimesNewRoman" w:cs="TimesNewRoman"/>
        </w:rPr>
        <w:t xml:space="preserve"> sieht die folgenden Handlungsansätze als zielführend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für eine umweltverträglichere Rohstoffwirtschaft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an: Die Kreislaufführung lässt sich zum Beispiel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 xml:space="preserve">durch Mindeststandards für die Entsorgung von </w:t>
      </w:r>
      <w:proofErr w:type="spellStart"/>
      <w:r w:rsidRPr="00C87A41">
        <w:rPr>
          <w:rFonts w:ascii="TimesNewRoman" w:hAnsi="TimesNewRoman" w:cs="TimesNewRoman"/>
        </w:rPr>
        <w:t>Elektround</w:t>
      </w:r>
      <w:proofErr w:type="spellEnd"/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Elektronikschrott, die Festlegung höherer Verwertungsquoten,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verpflichtende Funktionsnachweise von Gebrauchtgeräten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für den Export sowie die Etablierung von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Pfandsystemen für Mobiltelefone und Computer ausbauen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National und europäisch kann die Umweltverträglichkeit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des Rohstoffabbaus durch ein Bündel ordnungsrechtlicher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und ökonomischer Instrumente verbessert werden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So sollte das Bergrecht mit dem Ziel einer Stärkung der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Naturschutzbelange reformiert werden. Zudem kann die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Einführung einer Primärbaustoffsteuer den Druck auf einen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weiteren Abbau mineralischer Rohstoffe in Deutschland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reduzieren und einen Anreiz zur erweiterten Nutzung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von Sekundärrohstoffen in der Bauindustrie geben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Weiterhin kann eine knappe statt der bisher üblichen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großzügigen Ausstattung der Industrie mit Emissionsrechten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die Klimaverträglichkeit der Produktion rohstoffintensiver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Güter verbessern. Dafür müssen die ab 2013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zur Vergabe von Zertifikaten festzulegenden sektoralen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Benchmarks ambitionierte Emissionsreduktionsverpflichtungen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zur Folge haben. Etwaige Carbon-</w:t>
      </w:r>
      <w:proofErr w:type="spellStart"/>
      <w:r w:rsidRPr="00C87A41">
        <w:rPr>
          <w:rFonts w:ascii="TimesNewRoman" w:hAnsi="TimesNewRoman" w:cs="TimesNewRoman"/>
        </w:rPr>
        <w:t>Leakage</w:t>
      </w:r>
      <w:proofErr w:type="spellEnd"/>
      <w:r w:rsidRPr="00C87A41">
        <w:rPr>
          <w:rFonts w:ascii="TimesNewRoman" w:hAnsi="TimesNewRoman" w:cs="TimesNewRoman"/>
        </w:rPr>
        <w:t>-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Effekte dürfen nicht zu Überallokationen von Emissionsrechten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in gewissen Sektoren führen, zu denen auch und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gerade die rohstoffintensiven Industrien gehören. Überallokationen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gefährden die Wirksamkeit des gesamten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Emissionshandelssystems. Um das bestehende Überangebot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an Zertifikaten zu verringern, muss das Emissionsziel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bis 2020 verschärft werden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Die Umweltverträglichkeit des Rohstoffabbaus in rohstoffexportierenden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Ländern sollte durch internationale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Rohstoffabkommen und Zertifizierungssysteme mit hohen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Umwelt- und Sozialstandards für die Rohstoffgewinnung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verankert werden. Die Bundesregierung und die EU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können dabei wesentliche Treiber für ein internationales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Rohstoffrahmenabkommen werden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PS-ItalicMT" w:hAnsi="TimesNewRomanPS-ItalicMT" w:cs="TimesNewRomanPS-ItalicMT"/>
          <w:i/>
          <w:iCs/>
        </w:rPr>
      </w:pPr>
      <w:r w:rsidRPr="00C87A41">
        <w:rPr>
          <w:rFonts w:ascii="TimesNewRomanPS-ItalicMT" w:hAnsi="TimesNewRomanPS-ItalicMT" w:cs="TimesNewRomanPS-ItalicMT"/>
          <w:i/>
          <w:iCs/>
        </w:rPr>
        <w:t>Lebensmittelkonsum als Gegenstand von Politik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Arial-BoldMT" w:hAnsi="Arial-BoldMT" w:cs="Arial-BoldMT"/>
          <w:b/>
          <w:bCs/>
          <w:sz w:val="19"/>
          <w:szCs w:val="19"/>
        </w:rPr>
        <w:t xml:space="preserve">5. </w:t>
      </w:r>
      <w:r w:rsidRPr="00C87A41">
        <w:rPr>
          <w:rFonts w:ascii="TimesNewRoman" w:hAnsi="TimesNewRoman" w:cs="TimesNewRoman"/>
        </w:rPr>
        <w:t>Der Lebensmittelkonsum hat über Produktion, Verarbeitung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und Transport erheblichen Einfluss auf Umwelt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und Natur. Dies gilt vor allem für den Fleischkonsum,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aber auch für den Konsum von Milchprodukten. Der hohe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Konsum tierischer Produkte in Deutschland, welche je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„Kalorie“ deutlich mehr Fläche als pflanzliche Produkte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beanspruchen, ist im Hinblick auf die wachsende Weltbevölkerung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und die gravierenden Umweltfolgen einer intensiven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Landwirtschaft nicht global verallgemeinerungsfähig</w:t>
      </w:r>
      <w:r>
        <w:rPr>
          <w:rFonts w:ascii="TimesNewRoman" w:hAnsi="TimesNewRoman" w:cs="TimesNewRoman"/>
        </w:rPr>
        <w:t xml:space="preserve">. </w:t>
      </w:r>
      <w:r w:rsidRPr="00C87A41">
        <w:rPr>
          <w:rFonts w:ascii="TimesNewRoman" w:hAnsi="TimesNewRoman" w:cs="TimesNewRoman"/>
        </w:rPr>
        <w:t>Es stellt sich daher die grundlegende Frage, wie die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Politik bei Verbrauchern einen umweltbewussteren Konsumstil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induzieren kann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lastRenderedPageBreak/>
        <w:t>Es lassen sich dabei einige allgemeine Leitlinien für einen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umweltfreundlicheren Lebensmittelkonsum aufstellen: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Vordringlich ist zunächst eine Verringerung der Lebensmittelverluste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Eine Reduktion um mindestens 50 % bis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2025 sollte als politisches Ziel festgeschrieben werden</w:t>
      </w:r>
      <w:r>
        <w:rPr>
          <w:rFonts w:ascii="TimesNewRoman" w:hAnsi="TimesNewRoman" w:cs="TimesNewRoman"/>
        </w:rPr>
        <w:t xml:space="preserve">. </w:t>
      </w:r>
      <w:r w:rsidRPr="00C87A41">
        <w:rPr>
          <w:rFonts w:ascii="TimesNewRoman" w:hAnsi="TimesNewRoman" w:cs="TimesNewRoman"/>
        </w:rPr>
        <w:t>Um dies zu erreichen, sollten unter anderem die Vorgaben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für Haltbarkeitsdaten auf Verpackungen überarbeitet werden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Wünschenswert ist, dass der Konsum tierischer Produkte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reduziert wird. Dazu wird der Bundesregierung empfohlen,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den reduzierten Mehrwertsteuersatz auf tierische Produkte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abzuschaffen. Des Weiteren sollten die Erfahrungen,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die mit der Einführung einer Steuer auf gesättigte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Fettsäuren in Dänemark gemacht werden, evaluiert und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eine Einführung auch in Deutschland geprüft werden,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wenn sich positive Umweltwirkungen zeigen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Ferner sollten Produkte aus extensiver Weidehaltung bzw</w:t>
      </w:r>
      <w:r>
        <w:rPr>
          <w:rFonts w:ascii="TimesNewRoman" w:hAnsi="TimesNewRoman" w:cs="TimesNewRoman"/>
        </w:rPr>
        <w:t xml:space="preserve">. </w:t>
      </w:r>
      <w:r w:rsidRPr="00C87A41">
        <w:rPr>
          <w:rFonts w:ascii="TimesNewRoman" w:hAnsi="TimesNewRoman" w:cs="TimesNewRoman"/>
        </w:rPr>
        <w:t>aus Fütterung mit extensiv produziertem Futter bevorzugt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werden. Eine Erfolg versprechende Maßnahme zur Förderung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des Konsums von Gütern, die auf naturschutzgerecht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bewirtschafteten Flächen hergestellt werden, wäre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es, zusätzlich zu dem bestehenden EU-Öko-Siegel ein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„Naturschutz-Siegel“ einzuführen. Dieses soll Produkte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kennzeichnen, die auf Flächen hergestellt wurden, auf denen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Agrarumweltmaßnahmen durchgeführt werden oder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die unter Vertragsnaturschutz stehen. Zur Förderung eines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umweltbewussteren Konsumstils sollten darüber hinaus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Informationskampagnen verstärkt, Bildungsangebote verbessert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und das Angebot im öffentlichen Außer-Haus-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Verzehr umgestaltet werden. Auch sollte die Politik vermehrt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die Einrichtung von Dialogforen und Runden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Tischen zur Vernetzung privater Akteure anregen, um die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großen Potenziale zu nutzen, die nicht-staatliche Akteure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in diesem Bereich haben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PS-ItalicMT" w:hAnsi="TimesNewRomanPS-ItalicMT" w:cs="TimesNewRomanPS-ItalicMT"/>
          <w:i/>
          <w:iCs/>
        </w:rPr>
      </w:pPr>
      <w:r w:rsidRPr="00C87A41">
        <w:rPr>
          <w:rFonts w:ascii="TimesNewRomanPS-ItalicMT" w:hAnsi="TimesNewRomanPS-ItalicMT" w:cs="TimesNewRomanPS-ItalicMT"/>
          <w:i/>
          <w:iCs/>
        </w:rPr>
        <w:t>Güterverkehr und Klimaschutz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Arial-BoldMT" w:hAnsi="Arial-BoldMT" w:cs="Arial-BoldMT"/>
          <w:b/>
          <w:bCs/>
          <w:sz w:val="19"/>
          <w:szCs w:val="19"/>
        </w:rPr>
        <w:t xml:space="preserve">6. </w:t>
      </w:r>
      <w:r w:rsidRPr="00C87A41">
        <w:rPr>
          <w:rFonts w:ascii="TimesNewRoman" w:hAnsi="TimesNewRoman" w:cs="TimesNewRoman"/>
        </w:rPr>
        <w:t>Die prognostizierten Wachstumsraten des (Straßen-)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Güterverkehrs sind so hoch, dass ohne einschneidende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Maßnahmen die nationalen Klimaschutzziele für 2050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gefährdet sind. Bisher hat es die Verkehrspolitik allerdings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versäumt, zielführende Konzepte für einen nachhaltigen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Güterverkehr zu entwickeln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Die bisher zugrunde gelegten Wachstumsprognosen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scheinen zu hoch angesetzt. Sie setzen zumeist einen dynamischen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Zubau von Infrastrukturen voraus, der angesichts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stark wachsender Kosten und begrenzter Budgets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nicht realistisch erscheint. Infrastrukturknappheit, deutlich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steigende Transportkosten und der Strukturwandel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der Volkswirtschaft werden das Verkehrswachstum aller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Voraussicht nach spürbar dämpfen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Eine solche Entkopplung von Wirtschafts- und Güterverkehrswachstum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sowie weitere – technische und logistische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– Effizienzverbesserungen werden allerdings nicht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ausreichen, um die Klimaschutzziele zu erreichen. Daher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ist es langfristig notwendig, den Güterverkehr auf erneuerbare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Energieträger umzustellen. Da Biokraftstoffe aus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nachhaltigem Anbau nur in unzureichenden Mengen verfügbar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sein werden, erfordert dies vorrangig die Umstellung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auf regenerativ-elektrische Systeme. Dabei gibt es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zwar weitgehend unterschätzte Potenziale einer Verlagerung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von der Straße auf die Schiene, diese werden aber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ebenfalls nicht ausreichen. Ergänzend bedarf es daher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auch einer „regenerativen Elektrifizierung der Straße“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Hierzu stellen nach bisherigen Untersuchungen oberleitungsgeführte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Systeme für Lkws eine interessante Option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dar. Die Einführung eines Oberleitungssystems für elektrisch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betriebene Lkws (</w:t>
      </w:r>
      <w:proofErr w:type="spellStart"/>
      <w:r w:rsidRPr="00C87A41">
        <w:rPr>
          <w:rFonts w:ascii="TimesNewRoman" w:hAnsi="TimesNewRoman" w:cs="TimesNewRoman"/>
        </w:rPr>
        <w:t>Trolley</w:t>
      </w:r>
      <w:proofErr w:type="spellEnd"/>
      <w:r w:rsidRPr="00C87A41">
        <w:rPr>
          <w:rFonts w:ascii="TimesNewRoman" w:hAnsi="TimesNewRoman" w:cs="TimesNewRoman"/>
        </w:rPr>
        <w:t>-Trucks) sollte vor diesem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Hintergrund umfassend technisch, ökonomisch und europarechtlich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geprüft und in Demonstrationsprojekten erprobt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werden. Zudem sollten die Wechselwirkungen zum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Schienengüterverkehr untersucht werden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Die technischen Potenziale der Effizienzsteigerung des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Güterverkehrs sollten insbesondere durch die Festschreibung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verbindlicher Verbrauchsgrenzwerte für Lkws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ausgeschöpft werden. Zusätzliche Anreize für technologische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Innovation, logistische Optimierung und Verlagerung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auf die Schiene würden die Besteuerung von Kraftstoffen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 xml:space="preserve">gemäß </w:t>
      </w:r>
      <w:proofErr w:type="gramStart"/>
      <w:r w:rsidRPr="00C87A41">
        <w:rPr>
          <w:rFonts w:ascii="TimesNewRoman" w:hAnsi="TimesNewRoman" w:cs="TimesNewRoman"/>
        </w:rPr>
        <w:t>ihres Kohlenstoffgehalts</w:t>
      </w:r>
      <w:proofErr w:type="gramEnd"/>
      <w:r w:rsidRPr="00C87A41">
        <w:rPr>
          <w:rFonts w:ascii="TimesNewRoman" w:hAnsi="TimesNewRoman" w:cs="TimesNewRoman"/>
        </w:rPr>
        <w:t xml:space="preserve"> und die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Berücksichtigung externer Kosten in der Lkw-Maut bieten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In der Infrastrukturpolitik sind neue Prioritäten zugunsten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klimaverträglicher Verkehrslösungen auf der Schiene und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der Straße vordringlich. Die Bundesverkehrswegeplanung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sollte daher zu einer zielorientierten strategischen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Netzplanung mit einer vorrangigen Ausrichtung an Klimazielen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umgestaltet werden. Hierzu sollte das Verfahren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auf eine gesetzliche Grundlage gestellt werden, wobei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Umweltprüfung und Öffentlichkeitsbeteiligung zu einem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frühen Zeitpunkt zu gewährleisten sind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PS-ItalicMT" w:hAnsi="TimesNewRomanPS-ItalicMT" w:cs="TimesNewRomanPS-ItalicMT"/>
          <w:i/>
          <w:iCs/>
        </w:rPr>
      </w:pPr>
      <w:r w:rsidRPr="00C87A41">
        <w:rPr>
          <w:rFonts w:ascii="TimesNewRomanPS-ItalicMT" w:hAnsi="TimesNewRomanPS-ItalicMT" w:cs="TimesNewRomanPS-ItalicMT"/>
          <w:i/>
          <w:iCs/>
        </w:rPr>
        <w:t>Mobilität und Lebensqualität in Ballungsräumen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Arial-BoldMT" w:hAnsi="Arial-BoldMT" w:cs="Arial-BoldMT"/>
          <w:b/>
          <w:bCs/>
          <w:sz w:val="19"/>
          <w:szCs w:val="19"/>
        </w:rPr>
        <w:t xml:space="preserve">7. </w:t>
      </w:r>
      <w:r w:rsidRPr="00C87A41">
        <w:rPr>
          <w:rFonts w:ascii="TimesNewRoman" w:hAnsi="TimesNewRoman" w:cs="TimesNewRoman"/>
        </w:rPr>
        <w:t>In Ballungsräumen verdichten sich die Probleme der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Übernutzung natürlicher Ressourcen und die Nutzungskonflikte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um den begrenzten öffentlichen Raum. Hier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zeigen sich besonders deutlich die Folgen einer vom Autoverkehr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geprägten Mobilität für die urbane Lebensqualität: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Neben Lärmbelastungen, Luftschadstoffemissionen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und Unfallrisiken verringert der Autoverkehr das Angebot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an ruhigen und grünen Aufenthaltsräumen und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schränkt die Mobilität nicht-automobiler Bevölkerungsgruppen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ein. In Ballungsräumen bieten sich zugleich aber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auch vielfältige Möglichkeiten für eine nachhaltige Mobilität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Um die Ballungsräume vom Kfz-Verkehr zu entlasten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und den Verkehr insgesamt umweltverträglich zu gestalten,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ist eine Verschiebung der Verkehrsträgeranteile notwendig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lastRenderedPageBreak/>
        <w:t>Als mittelfristiges Ziel sollte angestrebt werden,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den Anteil des Umweltverbundes (öffentlicher Personennahverkehr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(ÖPNV), Fahrrad- und Fußverkehr) am Modal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Split bis 2025 vom jeweiligen Stand um 20 % und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langfristig auf einen Anteil von 70 bis 80 % zu erhöhen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Um ein solches Ziel zu erreichen, sind zum einen verstärkte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Fördermaßnahmen und Investitionen in den Umweltverbund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erforderlich. Dazu zählen eine fahrrad- und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fußgängerfreundliche Infrastruktur mit Tempo 30 als Regelgeschwindigkeit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für motorisierte Fahrzeuge in Innenstädten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Die Erhaltung des ÖPNV kann langfristig nur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durch die Schaffung eines ÖPNV-Finanzierungsgesetzes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des Bundes gesichert werden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Zum anderen ist aber auch die Korrektur ungerechtfertigter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und umweltschädlicher Subventionen für den Autoverkehr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notwendig (z. B. die ermäßigte Dieselbesteuerung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und die niedrige Besteuerung privat genutzter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Dienstwagen)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Eine integrierte Verkehrsentwicklungsplanung, die eine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effektive Stadt-Umland-Kooperation einschließt, kann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zur Entkopplung von Verkehr und Mobilität beitragen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Der weiterhin verbleibende Autoverkehr muss möglichst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emissionsarm sein. Dazu sollten die Umweltzonen stufenweise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weiterentwickelt werden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PS-BoldMT" w:hAnsi="TimesNewRomanPS-BoldMT" w:cs="TimesNewRomanPS-BoldMT"/>
          <w:b/>
          <w:bCs/>
        </w:rPr>
      </w:pPr>
      <w:r w:rsidRPr="00C87A41">
        <w:rPr>
          <w:rFonts w:ascii="TimesNewRomanPS-BoldMT" w:hAnsi="TimesNewRomanPS-BoldMT" w:cs="TimesNewRomanPS-BoldMT"/>
          <w:b/>
          <w:bCs/>
        </w:rPr>
        <w:t>Ökosystemleistungen aufwerten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Arial-BoldMT" w:hAnsi="Arial-BoldMT" w:cs="Arial-BoldMT"/>
          <w:b/>
          <w:bCs/>
          <w:sz w:val="19"/>
          <w:szCs w:val="19"/>
        </w:rPr>
        <w:t xml:space="preserve">8. </w:t>
      </w:r>
      <w:r w:rsidRPr="00C87A41">
        <w:rPr>
          <w:rFonts w:ascii="TimesNewRoman" w:hAnsi="TimesNewRoman" w:cs="TimesNewRoman"/>
        </w:rPr>
        <w:t>Der zweite Schwerpunkt „Ökosystemleistungen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aufwerten“ befasst sich mit der Frage, wie eine deutliche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Aufwertung bisher vernachlässigter Ökosystemleistungen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 xml:space="preserve">gelingen kann. Der </w:t>
      </w:r>
      <w:proofErr w:type="spellStart"/>
      <w:r w:rsidRPr="00C87A41">
        <w:rPr>
          <w:rFonts w:ascii="TimesNewRoman" w:hAnsi="TimesNewRoman" w:cs="TimesNewRoman"/>
        </w:rPr>
        <w:t>SRU</w:t>
      </w:r>
      <w:proofErr w:type="spellEnd"/>
      <w:r w:rsidRPr="00C87A41">
        <w:rPr>
          <w:rFonts w:ascii="TimesNewRoman" w:hAnsi="TimesNewRoman" w:cs="TimesNewRoman"/>
        </w:rPr>
        <w:t xml:space="preserve"> diskutiert dies beispielhaft für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Moore, Wälder und Meere. Bei all diesen Themen stellt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sich die Frage, wie Ökosysteme gegenüber unmittelbaren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kommerziellen Nutzungsinteressen so gestärkt werden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können, dass sie dauerhaft auch nicht-marktfähige Leistungen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erbringen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PS-ItalicMT" w:hAnsi="TimesNewRomanPS-ItalicMT" w:cs="TimesNewRomanPS-ItalicMT"/>
          <w:i/>
          <w:iCs/>
        </w:rPr>
      </w:pPr>
      <w:r w:rsidRPr="00C87A41">
        <w:rPr>
          <w:rFonts w:ascii="TimesNewRomanPS-ItalicMT" w:hAnsi="TimesNewRomanPS-ItalicMT" w:cs="TimesNewRomanPS-ItalicMT"/>
          <w:i/>
          <w:iCs/>
        </w:rPr>
        <w:t>Umweltgerechte Waldnutzung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Arial-BoldMT" w:hAnsi="Arial-BoldMT" w:cs="Arial-BoldMT"/>
          <w:b/>
          <w:bCs/>
          <w:sz w:val="19"/>
          <w:szCs w:val="19"/>
        </w:rPr>
        <w:t xml:space="preserve">9. </w:t>
      </w:r>
      <w:r w:rsidRPr="00C87A41">
        <w:rPr>
          <w:rFonts w:ascii="TimesNewRoman" w:hAnsi="TimesNewRoman" w:cs="TimesNewRoman"/>
        </w:rPr>
        <w:t>Um die Waldflächen konkurrieren unterschiedliche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Nutzungsansprüche. Als Rohstoff, Baumaterial und Energiequelle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ist Holz von besonderer kommerzieller Bedeutung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Mindestens ebenso wichtig ist aber die Funktion der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Wälder als natürlicher Lebensraum sowie für den lokalen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und globalen Klimaschutz. Naturnahe Wälder bilden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einerseits eine wichtige Senke für Treibhausgase, andererseits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sind sie für die Anpassung an die durch den Klimawandel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zu erwartenden Extremwetterereignisse wesentlich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Mit dem Anstieg der Energie- und Rohstoffpreise droht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eine Kommerzialisierung der Waldnutzung, die die nichtkommerziellen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Funktionen der Wälder zunehmend gefährdet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Bei der Nutzung muss jedoch dem Schutz der natürlichen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Lebensgrundlagen Vorrang gegeben werden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Daher müssen Maßnahmen ergriffen werden, um diese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nachhaltig zu erhalten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Die Ziele der nationalen Strategie zur biologischen Vielfalt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für den Lebensraum Wald müssen dringend umgesetzt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und in entsprechenden raumkonkreten Strategien der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Länder festgelegt werden. Dabei sind unter anderem Flächen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mit natürlicher Entwicklung auf 10 % der geeigneten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Waldfläche der öffentlichen Hand rechtlich abzusichern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Ein hochwertiges Zertifizierungssystem sollte auf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mindestens 80 % der Waldfläche angewendet werden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Ökologische Mindeststandards sollten für die gesamte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Waldfläche Deutschlands gelten. Dazu könnten zum Beispiel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eine Konkretisierung des Begriffs der „ordnungsgemäßen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Forstwirtschaft“ in § 11 Absatz 1 Bundeswaldgesetz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beitragen oder eine Verordnungsermächtigung im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Bundesnaturschutzgesetz. Diese Standards würden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gleichzeitig auch den Bewertungsmaßstab für die Honorierung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darüber hinausgehender öffentlicher Leistungen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bilden. Bei der Erfassung von Wildschäden sollten auch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Schäden an der biologischen Vielfalt in die Schadensermittlung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mit einbezogen werden. Die Vermeidung von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Wildschäden sollte prioritär gegenüber monetären Ersatzmaßnahmen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sein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Zur Abmilderung des Klimawandels in den kommenden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Jahrzehnten sollte der Aufbau weiterer Kohlenstoffvorräte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im Wald durch ein höheres Bestandsalter angestrebt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werden. Ein hohes Alter des Waldes ist gleichzeitig die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Grundlage für das Vorkommen vieler gefährdeter Waldarten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Um die Kohlenstoffspeicherfunktion zu schützen,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 xml:space="preserve">empfiehlt der </w:t>
      </w:r>
      <w:proofErr w:type="spellStart"/>
      <w:r w:rsidRPr="00C87A41">
        <w:rPr>
          <w:rFonts w:ascii="TimesNewRoman" w:hAnsi="TimesNewRoman" w:cs="TimesNewRoman"/>
        </w:rPr>
        <w:t>SRU</w:t>
      </w:r>
      <w:proofErr w:type="spellEnd"/>
      <w:r w:rsidRPr="00C87A41">
        <w:rPr>
          <w:rFonts w:ascii="TimesNewRoman" w:hAnsi="TimesNewRoman" w:cs="TimesNewRoman"/>
        </w:rPr>
        <w:t xml:space="preserve"> eine schonende Nutzung von Biomasse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aus Wäldern. Dabei sollten mindestens 50 % der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natürlichen Holzvorräte erhalten bleiben. Unter Berücksichtigung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von Natur- und Bodenschutz sollten die Potenziale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von Landschaftspflegeholz und Resthölzern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erschlossen werden. Für eine vollständige Kohlenstoffbilanzierung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müsste grundsätzlich neben der ober- und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unterirdischen Biomasse auch der in Totholzvorräten,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Streu und Waldboden gespeicherte Kohlenstoff berücksichtigt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werden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PS-ItalicMT" w:hAnsi="TimesNewRomanPS-ItalicMT" w:cs="TimesNewRomanPS-ItalicMT"/>
          <w:i/>
          <w:iCs/>
        </w:rPr>
      </w:pPr>
      <w:r w:rsidRPr="00C87A41">
        <w:rPr>
          <w:rFonts w:ascii="TimesNewRomanPS-ItalicMT" w:hAnsi="TimesNewRomanPS-ItalicMT" w:cs="TimesNewRomanPS-ItalicMT"/>
          <w:i/>
          <w:iCs/>
        </w:rPr>
        <w:t>Moorböden als Kohlenstoffspeicher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Arial-BoldMT" w:hAnsi="Arial-BoldMT" w:cs="Arial-BoldMT"/>
          <w:b/>
          <w:bCs/>
          <w:sz w:val="19"/>
          <w:szCs w:val="19"/>
        </w:rPr>
        <w:t xml:space="preserve">10. </w:t>
      </w:r>
      <w:r w:rsidRPr="00C87A41">
        <w:rPr>
          <w:rFonts w:ascii="TimesNewRoman" w:hAnsi="TimesNewRoman" w:cs="TimesNewRoman"/>
        </w:rPr>
        <w:t>Moorböden leisten einen herausragenden, jedoch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bislang weitgehend vernachlässigten Beitrag zum Klimaschutz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lastRenderedPageBreak/>
        <w:t>Sie enthalten und speichern große Mengen an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Kohlenstoff. Diese Ökosystemleistung der Moorböden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wird durch die Entwässerung der Flächen, insbesondere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für die landwirtschaftliche Nutzung, zerstört. In Deutschland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betrifft dies rund 12.000 km², die mit etwa 4 % zu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den jährlichen Treibhausgasemissionen Deutschlands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beitragen und damit etwa ein Drittel der Treibhausgasemissionen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aus der Landwirtschaft verursachen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Die langfristige Rückführung von Moorböden in einen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 xml:space="preserve">naturnahen Zustand durch </w:t>
      </w:r>
      <w:proofErr w:type="spellStart"/>
      <w:r w:rsidRPr="00C87A41">
        <w:rPr>
          <w:rFonts w:ascii="TimesNewRoman" w:hAnsi="TimesNewRoman" w:cs="TimesNewRoman"/>
        </w:rPr>
        <w:t>Wiedervernässung</w:t>
      </w:r>
      <w:proofErr w:type="spellEnd"/>
      <w:r w:rsidRPr="00C87A41">
        <w:rPr>
          <w:rFonts w:ascii="TimesNewRoman" w:hAnsi="TimesNewRoman" w:cs="TimesNewRoman"/>
        </w:rPr>
        <w:t>, Nutzungsextensivierung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und Renaturierung kann damit einen wesentlichen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Beitrag zum Klimaschutz leisten. Neben der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Klimaentlastung entstehen auch positive Synergieeffekte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für die Biodiversität und den Wasserhaushalt. Um konkrete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Schutzmaßnahmen vornehmen zu können, müssen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zunächst die Datengrundlagen geschaffen und harmonisiert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 xml:space="preserve">werden. Der </w:t>
      </w:r>
      <w:proofErr w:type="spellStart"/>
      <w:r w:rsidRPr="00C87A41">
        <w:rPr>
          <w:rFonts w:ascii="TimesNewRoman" w:hAnsi="TimesNewRoman" w:cs="TimesNewRoman"/>
        </w:rPr>
        <w:t>SRU</w:t>
      </w:r>
      <w:proofErr w:type="spellEnd"/>
      <w:r w:rsidRPr="00C87A41">
        <w:rPr>
          <w:rFonts w:ascii="TimesNewRoman" w:hAnsi="TimesNewRoman" w:cs="TimesNewRoman"/>
        </w:rPr>
        <w:t xml:space="preserve"> empfiehlt daher eine Bundesinitiative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Moorschutz in zwei Phasen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In Phase I sollen bis 2015 Kenndaten über Lage, Zustand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(Nutzung, Wasserstand, Biodiversitätszustand und -potenzial)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und Besitzverhältnisse aller Moorflächen erhoben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werden. Parallel sind ein Kataster und eine Austauschplattform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über die abgeschlossenen und laufenden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Renaturierungen aufzubauen. Naturnahe Moore sind zu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sichern und ihr Erhaltungszustand soweit notwendig zu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verbessern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 xml:space="preserve">In Phase II wird für alle Hochmoorböden eine </w:t>
      </w:r>
      <w:proofErr w:type="spellStart"/>
      <w:r w:rsidRPr="00C87A41">
        <w:rPr>
          <w:rFonts w:ascii="TimesNewRoman" w:hAnsi="TimesNewRoman" w:cs="TimesNewRoman"/>
        </w:rPr>
        <w:t>Wasserstandsanhebung</w:t>
      </w:r>
      <w:proofErr w:type="spellEnd"/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bis zu einem naturnahen Zustand vorgesehen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(soweit hydrologisch möglich). Für den Schutz von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Hochmoorböden auch über Deutschland hinaus ist ein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Torfausstiegsplan zu erarbeiten, der neben einem Ende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des Torfabbaus in Deutschland auch die Erforschung von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Alternativen sowie den Erlass eines Verwendungsverbotes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für Torf beinhaltet. Auf Niedermoorböden soll der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Wasserstand angehoben und die Nutzung extensiviert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werden, um eine deutliche Senkung der Treibhausgasemissionen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aus diesen Böden zu erreichen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Erfolge sowie Fehlentwicklungen der Schutz-, Extensivierungs-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 xml:space="preserve">und </w:t>
      </w:r>
      <w:proofErr w:type="spellStart"/>
      <w:r w:rsidRPr="00C87A41">
        <w:rPr>
          <w:rFonts w:ascii="TimesNewRoman" w:hAnsi="TimesNewRoman" w:cs="TimesNewRoman"/>
        </w:rPr>
        <w:t>Renaturierungsmaßnahmen</w:t>
      </w:r>
      <w:proofErr w:type="spellEnd"/>
      <w:r w:rsidRPr="00C87A41">
        <w:rPr>
          <w:rFonts w:ascii="TimesNewRoman" w:hAnsi="TimesNewRoman" w:cs="TimesNewRoman"/>
        </w:rPr>
        <w:t xml:space="preserve"> müssen in einem</w:t>
      </w:r>
      <w:r>
        <w:rPr>
          <w:rFonts w:ascii="TimesNewRoman" w:hAnsi="TimesNewRoman" w:cs="TimesNewRoman"/>
        </w:rPr>
        <w:t xml:space="preserve"> </w:t>
      </w:r>
      <w:proofErr w:type="spellStart"/>
      <w:r w:rsidRPr="00C87A41">
        <w:rPr>
          <w:rFonts w:ascii="TimesNewRoman" w:hAnsi="TimesNewRoman" w:cs="TimesNewRoman"/>
        </w:rPr>
        <w:t>Monitoringprogramm</w:t>
      </w:r>
      <w:proofErr w:type="spellEnd"/>
      <w:r w:rsidRPr="00C87A41">
        <w:rPr>
          <w:rFonts w:ascii="TimesNewRoman" w:hAnsi="TimesNewRoman" w:cs="TimesNewRoman"/>
        </w:rPr>
        <w:t xml:space="preserve"> dokumentiert werden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Die Leistung intakter Moore für den Klimaschutz muss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zudem angemessen honoriert werden. Infrage kommen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der Ausbau der Finanzierungsmöglichkeiten des Moorschutzes,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die Beseitigung von Fehlanreizen, die eine Entwässerung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attraktiv machen, und die Honorierung von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 xml:space="preserve">Nutzungsextensivierung und Pflege </w:t>
      </w:r>
      <w:proofErr w:type="spellStart"/>
      <w:r w:rsidRPr="00C87A41">
        <w:rPr>
          <w:rFonts w:ascii="TimesNewRoman" w:hAnsi="TimesNewRoman" w:cs="TimesNewRoman"/>
        </w:rPr>
        <w:t>renaturierter</w:t>
      </w:r>
      <w:proofErr w:type="spellEnd"/>
      <w:r w:rsidRPr="00C87A41">
        <w:rPr>
          <w:rFonts w:ascii="TimesNewRoman" w:hAnsi="TimesNewRoman" w:cs="TimesNewRoman"/>
        </w:rPr>
        <w:t xml:space="preserve"> Moorböden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Der Schutzstatus von Moorböden sollte zudem im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Natur- und Bodenschutzrecht gerade gegenüber konkurrierenden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Nutzungen gestärkt werden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PS-ItalicMT" w:hAnsi="TimesNewRomanPS-ItalicMT" w:cs="TimesNewRomanPS-ItalicMT"/>
          <w:i/>
          <w:iCs/>
        </w:rPr>
      </w:pPr>
      <w:proofErr w:type="spellStart"/>
      <w:r w:rsidRPr="00C87A41">
        <w:rPr>
          <w:rFonts w:ascii="TimesNewRomanPS-ItalicMT" w:hAnsi="TimesNewRomanPS-ItalicMT" w:cs="TimesNewRomanPS-ItalicMT"/>
          <w:i/>
          <w:iCs/>
        </w:rPr>
        <w:t>Sektorübergreifender</w:t>
      </w:r>
      <w:proofErr w:type="spellEnd"/>
      <w:r w:rsidRPr="00C87A41">
        <w:rPr>
          <w:rFonts w:ascii="TimesNewRomanPS-ItalicMT" w:hAnsi="TimesNewRomanPS-ItalicMT" w:cs="TimesNewRomanPS-ItalicMT"/>
          <w:i/>
          <w:iCs/>
        </w:rPr>
        <w:t xml:space="preserve"> Meeresschutz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Arial-BoldMT" w:hAnsi="Arial-BoldMT" w:cs="Arial-BoldMT"/>
          <w:b/>
          <w:bCs/>
          <w:sz w:val="19"/>
          <w:szCs w:val="19"/>
        </w:rPr>
        <w:t xml:space="preserve">11. </w:t>
      </w:r>
      <w:r w:rsidRPr="00C87A41">
        <w:rPr>
          <w:rFonts w:ascii="TimesNewRoman" w:hAnsi="TimesNewRoman" w:cs="TimesNewRoman"/>
        </w:rPr>
        <w:t>Nord- und Ostsee stehen unter einem erheblichen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Nutzungsdruck, der zu vielfältigen Belastungen der dortigen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Ökosysteme führt. Verantwortlich hierfür sind unterschiedliche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Verursacher, vor allem die Fischerei, die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Landwirtschaft, die Seeschifffahrt und die Energie- und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Rohstoffgewinnung. Konsequenzen dieser Eingriffe sind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unter anderem Veränderungen im Nahrungsnetz, die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Schädigung von Bodenlebensgemeinschaften, Eutrophierung,</w:t>
      </w:r>
      <w:r>
        <w:rPr>
          <w:rFonts w:ascii="TimesNewRoman" w:hAnsi="TimesNewRoman" w:cs="TimesNewRoman"/>
        </w:rPr>
        <w:t xml:space="preserve"> </w:t>
      </w:r>
      <w:proofErr w:type="spellStart"/>
      <w:r w:rsidRPr="00C87A41">
        <w:rPr>
          <w:rFonts w:ascii="TimesNewRoman" w:hAnsi="TimesNewRoman" w:cs="TimesNewRoman"/>
        </w:rPr>
        <w:t>Verlärmung</w:t>
      </w:r>
      <w:proofErr w:type="spellEnd"/>
      <w:r w:rsidRPr="00C87A41">
        <w:rPr>
          <w:rFonts w:ascii="TimesNewRoman" w:hAnsi="TimesNewRoman" w:cs="TimesNewRoman"/>
        </w:rPr>
        <w:t xml:space="preserve"> und die Anreicherung von Schadstoffen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in Organismen am Ende der Nahrungsketten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Zentrale Herausforderung der Meerespolitik ist die Integration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 xml:space="preserve">des Meeresschutzes in die verschiedenen </w:t>
      </w:r>
      <w:proofErr w:type="spellStart"/>
      <w:r w:rsidRPr="00C87A41">
        <w:rPr>
          <w:rFonts w:ascii="TimesNewRoman" w:hAnsi="TimesNewRoman" w:cs="TimesNewRoman"/>
        </w:rPr>
        <w:t>Sektorpolitiken</w:t>
      </w:r>
      <w:proofErr w:type="spellEnd"/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Dafür müssen die Politiken geändert und anspruchsvolle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Schutzziele festgelegt werden. Die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Meeresstrategie-Rahmenrichtlinie (</w:t>
      </w:r>
      <w:proofErr w:type="spellStart"/>
      <w:r w:rsidRPr="00C87A41">
        <w:rPr>
          <w:rFonts w:ascii="TimesNewRoman" w:hAnsi="TimesNewRoman" w:cs="TimesNewRoman"/>
        </w:rPr>
        <w:t>MSRL</w:t>
      </w:r>
      <w:proofErr w:type="spellEnd"/>
      <w:r w:rsidRPr="00C87A41">
        <w:rPr>
          <w:rFonts w:ascii="TimesNewRoman" w:hAnsi="TimesNewRoman" w:cs="TimesNewRoman"/>
        </w:rPr>
        <w:t>) der EU verfolgt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zwar einen umfassenden Ansatz zum Schutz der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Meere, hat aber nur wenig Einfluss auf die relevanten,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 xml:space="preserve">insbesondere europäischen, </w:t>
      </w:r>
      <w:proofErr w:type="spellStart"/>
      <w:r w:rsidRPr="00C87A41">
        <w:rPr>
          <w:rFonts w:ascii="TimesNewRoman" w:hAnsi="TimesNewRoman" w:cs="TimesNewRoman"/>
        </w:rPr>
        <w:t>Sektorpolitiken</w:t>
      </w:r>
      <w:proofErr w:type="spellEnd"/>
      <w:r w:rsidRPr="00C87A41">
        <w:rPr>
          <w:rFonts w:ascii="TimesNewRoman" w:hAnsi="TimesNewRoman" w:cs="TimesNewRoman"/>
        </w:rPr>
        <w:t>. Trotzdem ist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eine anspruchsvolle Richtlinienumsetzung mit erheblichen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Chancen für den Meeresschutz verbunden. Die Ziele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und Instrumente der regionalen Meeresschutzabkommen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 xml:space="preserve">(Helsinki- und </w:t>
      </w:r>
      <w:proofErr w:type="spellStart"/>
      <w:r w:rsidRPr="00C87A41">
        <w:rPr>
          <w:rFonts w:ascii="TimesNewRoman" w:hAnsi="TimesNewRoman" w:cs="TimesNewRoman"/>
        </w:rPr>
        <w:t>OSPAR</w:t>
      </w:r>
      <w:proofErr w:type="spellEnd"/>
      <w:r w:rsidRPr="00C87A41">
        <w:rPr>
          <w:rFonts w:ascii="TimesNewRoman" w:hAnsi="TimesNewRoman" w:cs="TimesNewRoman"/>
        </w:rPr>
        <w:t>-Übereinkommen) bieten hierfür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eine wichtige Grundlage und sollten soweit wie möglich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aufgegriffen werden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Auf der europäischen Ebene sind weitergehende Reformen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der Gemeinsamen Fischereipolitik und der Gemeinsamen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Agrarpolitik vorrangig. International müssen die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Umweltstandards in der Seeschifffahrt fortentwickelt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 xml:space="preserve">werden. Ambitionierte, im Rahmen der </w:t>
      </w:r>
      <w:proofErr w:type="spellStart"/>
      <w:r w:rsidRPr="00C87A41">
        <w:rPr>
          <w:rFonts w:ascii="TimesNewRoman" w:hAnsi="TimesNewRoman" w:cs="TimesNewRoman"/>
        </w:rPr>
        <w:t>MSRL</w:t>
      </w:r>
      <w:proofErr w:type="spellEnd"/>
      <w:r w:rsidRPr="00C87A41">
        <w:rPr>
          <w:rFonts w:ascii="TimesNewRoman" w:hAnsi="TimesNewRoman" w:cs="TimesNewRoman"/>
        </w:rPr>
        <w:t>-Umsetzung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festgelegte Meeresschutzziele, die in der europäischen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Meerespolitik verankert werden, bieten eine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Chance für eine meeresschutzgerechte Weiterentwicklung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der relevanten Politiken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Darüber hinaus kann der Meeresschutz verbessert werden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durch die Schaffung eines hohen Schutzstatus in den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Meeresschutzgebieten, einschließlich zielführender Managementpläne,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der Einrichtung von Nullnutzungszonen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 xml:space="preserve">und von adäquaten </w:t>
      </w:r>
      <w:proofErr w:type="spellStart"/>
      <w:r w:rsidRPr="00C87A41">
        <w:rPr>
          <w:rFonts w:ascii="TimesNewRoman" w:hAnsi="TimesNewRoman" w:cs="TimesNewRoman"/>
        </w:rPr>
        <w:t>Monitoringprogrammen</w:t>
      </w:r>
      <w:proofErr w:type="spellEnd"/>
      <w:r w:rsidRPr="00C87A41">
        <w:rPr>
          <w:rFonts w:ascii="TimesNewRoman" w:hAnsi="TimesNewRoman" w:cs="TimesNewRoman"/>
        </w:rPr>
        <w:t xml:space="preserve"> sowie durch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die Stärkung der steuernden Wirkung der Raumordnungspläne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für die deutsche ausschließliche Wirtschaftszone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(</w:t>
      </w:r>
      <w:proofErr w:type="spellStart"/>
      <w:r w:rsidRPr="00C87A41">
        <w:rPr>
          <w:rFonts w:ascii="TimesNewRoman" w:hAnsi="TimesNewRoman" w:cs="TimesNewRoman"/>
        </w:rPr>
        <w:t>AWZ</w:t>
      </w:r>
      <w:proofErr w:type="spellEnd"/>
      <w:r w:rsidRPr="00C87A41">
        <w:rPr>
          <w:rFonts w:ascii="TimesNewRoman" w:hAnsi="TimesNewRoman" w:cs="TimesNewRoman"/>
        </w:rPr>
        <w:t>)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Eine institutionelle und personelle Stärkung des Meeresschutzes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in Deutschland ist unabdingbar, damit die Erhaltung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der marinen Biodiversität und der Ressourcen der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Meere gelingt. In diesem Zusammenhang ist die Einrichtung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eines Meeresbundesamtes zu prüfen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PS-BoldMT" w:hAnsi="TimesNewRomanPS-BoldMT" w:cs="TimesNewRomanPS-BoldMT"/>
          <w:b/>
          <w:bCs/>
        </w:rPr>
      </w:pPr>
      <w:r w:rsidRPr="00C87A41">
        <w:rPr>
          <w:rFonts w:ascii="TimesNewRomanPS-BoldMT" w:hAnsi="TimesNewRomanPS-BoldMT" w:cs="TimesNewRomanPS-BoldMT"/>
          <w:b/>
          <w:bCs/>
        </w:rPr>
        <w:t>Integrative Konzepte stärken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Arial-BoldMT" w:hAnsi="Arial-BoldMT" w:cs="Arial-BoldMT"/>
          <w:b/>
          <w:bCs/>
          <w:sz w:val="19"/>
          <w:szCs w:val="19"/>
        </w:rPr>
        <w:t xml:space="preserve">12. </w:t>
      </w:r>
      <w:r w:rsidRPr="00C87A41">
        <w:rPr>
          <w:rFonts w:ascii="TimesNewRoman" w:hAnsi="TimesNewRoman" w:cs="TimesNewRoman"/>
        </w:rPr>
        <w:t>Der dritte Teil des Gutachtens „Integrative Konzepte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stärken“ befasst sich mit wesentlichen institutionellen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Grundlagen erfolgreicher Umweltpolitik. Grundlage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 xml:space="preserve">eines effektiven Umweltschutzes ist ein </w:t>
      </w:r>
      <w:r w:rsidRPr="00C87A41">
        <w:rPr>
          <w:rFonts w:ascii="TimesNewRoman" w:hAnsi="TimesNewRoman" w:cs="TimesNewRoman"/>
        </w:rPr>
        <w:lastRenderedPageBreak/>
        <w:t>medienübergreifendes</w:t>
      </w:r>
      <w:r>
        <w:rPr>
          <w:rFonts w:ascii="TimesNewRoman" w:hAnsi="TimesNewRoman" w:cs="TimesNewRoman"/>
        </w:rPr>
        <w:t xml:space="preserve"> </w:t>
      </w:r>
      <w:proofErr w:type="spellStart"/>
      <w:r w:rsidRPr="00C87A41">
        <w:rPr>
          <w:rFonts w:ascii="TimesNewRoman" w:hAnsi="TimesNewRoman" w:cs="TimesNewRoman"/>
        </w:rPr>
        <w:t>Umweltmonitoring</w:t>
      </w:r>
      <w:proofErr w:type="spellEnd"/>
      <w:r w:rsidRPr="00C87A41">
        <w:rPr>
          <w:rFonts w:ascii="TimesNewRoman" w:hAnsi="TimesNewRoman" w:cs="TimesNewRoman"/>
        </w:rPr>
        <w:t>, das die Wechselwirkungen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zwischen Stoffeinträgen und der Dynamik von Ökosystemen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angemessen abbildet. Zu einem medienübergreifenden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Ansatz im Umweltschutz gehören auch integrative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Verfahren, die Problemverlagerungen von einem Umweltmedium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auf das andere erfassen und verhindern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Exemplarisch wird dies am Beispiel des Anlagenzulassungsrechts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diskutiert. Von herausragender Bedeutung ist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die Integration von Umweltbelangen in andere Sektoren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Ausgangspunkt hierfür ist ein aktualisiertes und langfristig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ausgerichtetes Zielsystem, welches als Kompass dient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und an welchem die Leistungsfähigkeit und der Erfolg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von Maßnahmen gemessen werden können. Umweltprogramme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und Nachhaltigkeitsstrategien auf der europäischen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und nationalen Ebene sind die geeigneten Prozesse,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solche Ziele qualifiziert zu diskutieren und politisch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hochrangig zu verankern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PS-ItalicMT" w:hAnsi="TimesNewRomanPS-ItalicMT" w:cs="TimesNewRomanPS-ItalicMT"/>
          <w:i/>
          <w:iCs/>
        </w:rPr>
      </w:pPr>
      <w:r w:rsidRPr="00C87A41">
        <w:rPr>
          <w:rFonts w:ascii="TimesNewRomanPS-ItalicMT" w:hAnsi="TimesNewRomanPS-ItalicMT" w:cs="TimesNewRomanPS-ItalicMT"/>
          <w:i/>
          <w:iCs/>
        </w:rPr>
        <w:t>Integrierter Umweltschutz am Beispiel des Anlagenzulassungsrechts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Arial-BoldMT" w:hAnsi="Arial-BoldMT" w:cs="Arial-BoldMT"/>
          <w:b/>
          <w:bCs/>
          <w:sz w:val="19"/>
          <w:szCs w:val="19"/>
        </w:rPr>
        <w:t xml:space="preserve">13. </w:t>
      </w:r>
      <w:r w:rsidRPr="00C87A41">
        <w:rPr>
          <w:rFonts w:ascii="TimesNewRoman" w:hAnsi="TimesNewRoman" w:cs="TimesNewRoman"/>
        </w:rPr>
        <w:t>Umweltschutz erfordert grundsätzlich eine integrierte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Betrachtung, wenn Probleme sinnvoll gelöst und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nicht lediglich verschoben werden sollen. In Deutschland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ist aber im Anlagenzulassungsrecht der vom europäischen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Recht vorgegebene medienübergreifende Ansatz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noch nicht vollständig verwirklicht. Dieser erfordert eine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ganzheitliche Betrachtung der Umwelt, um so Belastungsverlagerungen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zu vermeiden. Dies gilt zunächst im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Hinblick auf die formelle Integration bei der Anlagenzulassung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Ziel sollte es sein, wie in der Industrieemissionsrichtlinie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(</w:t>
      </w:r>
      <w:proofErr w:type="spellStart"/>
      <w:r w:rsidRPr="00C87A41">
        <w:rPr>
          <w:rFonts w:ascii="TimesNewRoman" w:hAnsi="TimesNewRoman" w:cs="TimesNewRoman"/>
        </w:rPr>
        <w:t>IED</w:t>
      </w:r>
      <w:proofErr w:type="spellEnd"/>
      <w:r w:rsidRPr="00C87A41">
        <w:rPr>
          <w:rFonts w:ascii="TimesNewRoman" w:hAnsi="TimesNewRoman" w:cs="TimesNewRoman"/>
        </w:rPr>
        <w:t>) vorgegeben, sicherzustellen, dass alle für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diese Verfahren zuständigen Behörden anhand eines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wirksamen integrierten Konzepts vorgehen. Dies ist in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Deutschland bislang nur in wenigen Bundesländern der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Fall. Weitergehend bestehen sogar Tendenzen zu einer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Kommunalisierung der Umweltverwaltungen in einzelnen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Bundesländern, was die Integration der Verfahren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weiter erschwert. In diesem Sinne sollte das von Artikel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 xml:space="preserve">23 Absatz 1 </w:t>
      </w:r>
      <w:proofErr w:type="spellStart"/>
      <w:r w:rsidRPr="00C87A41">
        <w:rPr>
          <w:rFonts w:ascii="TimesNewRoman" w:hAnsi="TimesNewRoman" w:cs="TimesNewRoman"/>
        </w:rPr>
        <w:t>IED</w:t>
      </w:r>
      <w:proofErr w:type="spellEnd"/>
      <w:r w:rsidRPr="00C87A41">
        <w:rPr>
          <w:rFonts w:ascii="TimesNewRoman" w:hAnsi="TimesNewRoman" w:cs="TimesNewRoman"/>
        </w:rPr>
        <w:t xml:space="preserve"> geforderte System für Umweltinspektionen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genutzt werden, um alle Umweltauswirkungen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gemeinsam zu erfassen. Dies wäre ein Anstoß, die Behörden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so zu organisieren, dass nur eine Stelle für die Inspektionen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und für die Genehmigung und Überwachung insgesamt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zuständig ist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Wünschenswert wäre zudem ein einheitlicher Genehmigungstatbestand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in Form einer integrierten Vorhabengenehmigung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(</w:t>
      </w:r>
      <w:proofErr w:type="spellStart"/>
      <w:r w:rsidRPr="00C87A41">
        <w:rPr>
          <w:rFonts w:ascii="TimesNewRoman" w:hAnsi="TimesNewRoman" w:cs="TimesNewRoman"/>
        </w:rPr>
        <w:t>IVG</w:t>
      </w:r>
      <w:proofErr w:type="spellEnd"/>
      <w:r w:rsidRPr="00C87A41">
        <w:rPr>
          <w:rFonts w:ascii="TimesNewRoman" w:hAnsi="TimesNewRoman" w:cs="TimesNewRoman"/>
        </w:rPr>
        <w:t>). Ein solcher ließe sich auf Landesebene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nur sinnvoll mit Leben füllen, wenn die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entsprechenden Fachbehörden zusammengeführt werden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 xml:space="preserve">würden. Es wäre beispielsweise möglich, die </w:t>
      </w:r>
      <w:proofErr w:type="spellStart"/>
      <w:r w:rsidRPr="00C87A41">
        <w:rPr>
          <w:rFonts w:ascii="TimesNewRoman" w:hAnsi="TimesNewRoman" w:cs="TimesNewRoman"/>
        </w:rPr>
        <w:t>IVG</w:t>
      </w:r>
      <w:proofErr w:type="spellEnd"/>
      <w:r w:rsidRPr="00C87A41">
        <w:rPr>
          <w:rFonts w:ascii="TimesNewRoman" w:hAnsi="TimesNewRoman" w:cs="TimesNewRoman"/>
        </w:rPr>
        <w:t xml:space="preserve"> als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Stammregelung im Sinne einer Angebotsgesetzgebung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im Verwaltungsverfahrensgesetz zu verankern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Im Hinblick auf die materielle Integration bestehen emissionsseitig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gute Gründe, auf generell-abstrakte Grenzwerte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zurückzugreifen. Allerdings sollten die Emissionsgrenzwerte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der Technischen Anleitung zur Reinhaltung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der Luft (TA Luft) im Rahmen einer Rechtsverordnung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(Bundes-Immissionsschutzverordnung) geregelt werden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Insbesondere mit Blick auf eine verbesserte Umsetzung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europarechtlicher Vorgaben des integrierten Umweltschutzes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 xml:space="preserve">hält der </w:t>
      </w:r>
      <w:proofErr w:type="spellStart"/>
      <w:r w:rsidRPr="00C87A41">
        <w:rPr>
          <w:rFonts w:ascii="TimesNewRoman" w:hAnsi="TimesNewRoman" w:cs="TimesNewRoman"/>
        </w:rPr>
        <w:t>SRU</w:t>
      </w:r>
      <w:proofErr w:type="spellEnd"/>
      <w:r w:rsidRPr="00C87A41">
        <w:rPr>
          <w:rFonts w:ascii="TimesNewRoman" w:hAnsi="TimesNewRoman" w:cs="TimesNewRoman"/>
        </w:rPr>
        <w:t xml:space="preserve"> überdies eine Öffnung der gebundenen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Genehmigung in Richtung einer Ermessensentscheidung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für erforderlich. Diese ließe sich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gegebenenfalls um Ermessens- und Abwägungsdirektiven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ergänzen. Eine solche Regelung würde nicht zuletzt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der herrschenden Praxis besser gerecht werden, in der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sich die gebundene Entscheidung weitgehend einer Ermessensentscheidung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angenähert hat. Gerade der Ansatz,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dass sensible Umweltmedien wie das Wasser grundsätzlich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einem staatlichen Ordnungsrahmen unterstellt werden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können und daher kein strikter Anspruch auf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Umweltnutzung bestehen kann, lässt sich in verfassungskonformer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Weise auch auf andere Umweltmedien wie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Luft und Boden übertragen. Angesichts der ansonsten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schwer zu erreichenden nationalen Luftqualitätsziele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könnte den Behörden auf diese Weise ein Versagungsermessen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eröffnet werden, wenn gesetzlich vorgeschriebene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Luftqualitätsziele nicht eingehalten werden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PS-ItalicMT" w:hAnsi="TimesNewRomanPS-ItalicMT" w:cs="TimesNewRomanPS-ItalicMT"/>
          <w:i/>
          <w:iCs/>
        </w:rPr>
      </w:pPr>
      <w:r w:rsidRPr="00C87A41">
        <w:rPr>
          <w:rFonts w:ascii="TimesNewRomanPS-ItalicMT" w:hAnsi="TimesNewRomanPS-ItalicMT" w:cs="TimesNewRomanPS-ItalicMT"/>
          <w:i/>
          <w:iCs/>
        </w:rPr>
        <w:t>Medienübergreifendes Monitoring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Arial-BoldMT" w:hAnsi="Arial-BoldMT" w:cs="Arial-BoldMT"/>
          <w:b/>
          <w:bCs/>
          <w:sz w:val="19"/>
          <w:szCs w:val="19"/>
        </w:rPr>
        <w:t xml:space="preserve">14. </w:t>
      </w:r>
      <w:r w:rsidRPr="00C87A41">
        <w:rPr>
          <w:rFonts w:ascii="TimesNewRoman" w:hAnsi="TimesNewRoman" w:cs="TimesNewRoman"/>
        </w:rPr>
        <w:t>Natur und Umwelt bilden die Grundlage nachhaltiger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Entwicklung. Ihr Zustand wird durch multifaktorielle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Umweltbelastungen beeinflusst, deren Regelung durch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unterschiedliche, teils konkurrierende Zuständigkeiten in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der Verwaltung gespiegelt wird. Politische und wirtschaftliche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Entscheidungen müssen an dem Ziel der Erhaltung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oder Wiederherstellung eines guten Zustands der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 xml:space="preserve">Ökosysteme ausgerichtet werden. </w:t>
      </w:r>
      <w:proofErr w:type="spellStart"/>
      <w:r w:rsidRPr="00C87A41">
        <w:rPr>
          <w:rFonts w:ascii="TimesNewRoman" w:hAnsi="TimesNewRoman" w:cs="TimesNewRoman"/>
        </w:rPr>
        <w:t>Umweltmonitoring</w:t>
      </w:r>
      <w:proofErr w:type="spellEnd"/>
      <w:r w:rsidRPr="00C87A41">
        <w:rPr>
          <w:rFonts w:ascii="TimesNewRoman" w:hAnsi="TimesNewRoman" w:cs="TimesNewRoman"/>
        </w:rPr>
        <w:t xml:space="preserve"> liefert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die wesentlichen Grundlagen dafür, Probleme frühzeitig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erkennen zu können, die Realitätstauglichkeit modellierter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Wirkungszusammenhänge zu prüfen, die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Effektivität politischer Maßnahmen zu evaluieren und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nicht zuletzt integrierten Umweltschutz materiell zu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ermöglichen. Monitoring sollte Nutzungseinflüsse, Stoffbelastungen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und Wirkungen des Klimawandels mit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Zustandsdaten zur Biodiversität verknüpfen und Veränderungen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im Naturraum abbilden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Hierfür ist einerseits ein medienübergreifendes Monitoring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erforderlich, welches die Untersuchung von Exposition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und Wirkung von Stoffen über mehrere Umweltmedien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kombiniert. Für allgemeine, repräsentative Aussagen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zum Zustand der Biodiversität in den verschiedenen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Landnutzungstypen liefert die flächendeckende Einführung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der ökologischen Flächenstichprobe die notwendigen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Informationsgrundlagen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lastRenderedPageBreak/>
        <w:t xml:space="preserve">Die verschiedenen </w:t>
      </w:r>
      <w:proofErr w:type="spellStart"/>
      <w:r w:rsidRPr="00C87A41">
        <w:rPr>
          <w:rFonts w:ascii="TimesNewRoman" w:hAnsi="TimesNewRoman" w:cs="TimesNewRoman"/>
        </w:rPr>
        <w:t>Monitoringaktivitäten</w:t>
      </w:r>
      <w:proofErr w:type="spellEnd"/>
      <w:r w:rsidRPr="00C87A41">
        <w:rPr>
          <w:rFonts w:ascii="TimesNewRoman" w:hAnsi="TimesNewRoman" w:cs="TimesNewRoman"/>
        </w:rPr>
        <w:t xml:space="preserve"> sollten durch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bundesweit einheitliche Standards – auch für das Monitoring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von Chemikalien – auf Grundlage der Gesetzgebungskompetenz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im Naturschutzrecht koordiniert und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beim Statistischen Bundesamt institutionalisiert werden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Insgesamt kann durch diese Kooperation der Informationsfluss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zwischen den Behörden verbessert werden. Dadurch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könnte auch ein transparenter Zugang der Öffentlichkeit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 xml:space="preserve">zu den </w:t>
      </w:r>
      <w:proofErr w:type="spellStart"/>
      <w:r w:rsidRPr="00C87A41">
        <w:rPr>
          <w:rFonts w:ascii="TimesNewRoman" w:hAnsi="TimesNewRoman" w:cs="TimesNewRoman"/>
        </w:rPr>
        <w:t>Monitoringergebnissen</w:t>
      </w:r>
      <w:proofErr w:type="spellEnd"/>
      <w:r w:rsidRPr="00C87A41">
        <w:rPr>
          <w:rFonts w:ascii="TimesNewRoman" w:hAnsi="TimesNewRoman" w:cs="TimesNewRoman"/>
        </w:rPr>
        <w:t xml:space="preserve"> geschaffen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werden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Konsistenz zwischen den Vollzugsaufgaben stellt auch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ein wesentliches Ziel der Europäischen Kommission und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ihrer wissenschaftlichen Gremien dar. Daher sollte dafür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gesorgt werden, dass insbesondere die stoffbezogenen Informationen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 xml:space="preserve">aus der </w:t>
      </w:r>
      <w:proofErr w:type="spellStart"/>
      <w:r w:rsidRPr="00C87A41">
        <w:rPr>
          <w:rFonts w:ascii="TimesNewRoman" w:hAnsi="TimesNewRoman" w:cs="TimesNewRoman"/>
        </w:rPr>
        <w:t>REACH</w:t>
      </w:r>
      <w:proofErr w:type="spellEnd"/>
      <w:r w:rsidRPr="00C87A41">
        <w:rPr>
          <w:rFonts w:ascii="TimesNewRoman" w:hAnsi="TimesNewRoman" w:cs="TimesNewRoman"/>
        </w:rPr>
        <w:t>-Verordnung in das medienübergreifende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Monitoring integriert und die Ergebnisse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 xml:space="preserve">wiederum beim Vollzug der </w:t>
      </w:r>
      <w:proofErr w:type="spellStart"/>
      <w:r w:rsidRPr="00C87A41">
        <w:rPr>
          <w:rFonts w:ascii="TimesNewRoman" w:hAnsi="TimesNewRoman" w:cs="TimesNewRoman"/>
        </w:rPr>
        <w:t>REACH</w:t>
      </w:r>
      <w:proofErr w:type="spellEnd"/>
      <w:r w:rsidRPr="00C87A41">
        <w:rPr>
          <w:rFonts w:ascii="TimesNewRoman" w:hAnsi="TimesNewRoman" w:cs="TimesNewRoman"/>
        </w:rPr>
        <w:t>-Verordnung genutzt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werden. Die entstandenen Kosten sollten insbesondere im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Bereich des Monitorings von Chemikalien und der Gentechnik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von den Verursachern übernommen werden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PS-ItalicMT" w:hAnsi="TimesNewRomanPS-ItalicMT" w:cs="TimesNewRomanPS-ItalicMT"/>
          <w:i/>
          <w:iCs/>
        </w:rPr>
      </w:pPr>
      <w:r w:rsidRPr="00C87A41">
        <w:rPr>
          <w:rFonts w:ascii="TimesNewRomanPS-ItalicMT" w:hAnsi="TimesNewRomanPS-ItalicMT" w:cs="TimesNewRomanPS-ItalicMT"/>
          <w:i/>
          <w:iCs/>
        </w:rPr>
        <w:t>Umwelt- und Nachhaltigkeitsstrategien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Arial-BoldMT" w:hAnsi="Arial-BoldMT" w:cs="Arial-BoldMT"/>
          <w:b/>
          <w:bCs/>
          <w:sz w:val="19"/>
          <w:szCs w:val="19"/>
        </w:rPr>
        <w:t xml:space="preserve">15. </w:t>
      </w:r>
      <w:r w:rsidRPr="00C87A41">
        <w:rPr>
          <w:rFonts w:ascii="TimesNewRoman" w:hAnsi="TimesNewRoman" w:cs="TimesNewRoman"/>
        </w:rPr>
        <w:t>Auch zwanzig Jahre nach der Rio-Konferenz ist es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– trotz partieller Erfolge – nicht gelungen, Entwicklungspfade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in Deutschland, Europa und der Welt systematisch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so auszurichten, dass ökologische Grenzen eingehalten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werden. Der Widerspruch, dass trotz vieler Erfolge der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Umweltpolitik bedrohliche ökologische Trends fortbestehen,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zeigt, wie groß die politischen Herausforderungen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 xml:space="preserve">sind. Der </w:t>
      </w:r>
      <w:proofErr w:type="spellStart"/>
      <w:r w:rsidRPr="00C87A41">
        <w:rPr>
          <w:rFonts w:ascii="TimesNewRoman" w:hAnsi="TimesNewRoman" w:cs="TimesNewRoman"/>
        </w:rPr>
        <w:t>SRU</w:t>
      </w:r>
      <w:proofErr w:type="spellEnd"/>
      <w:r w:rsidRPr="00C87A41">
        <w:rPr>
          <w:rFonts w:ascii="TimesNewRoman" w:hAnsi="TimesNewRoman" w:cs="TimesNewRoman"/>
        </w:rPr>
        <w:t xml:space="preserve"> hält es daher für notwendig, die ökologischen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Schutzgüter stärker ins Zentrum des (umwelt-)politischen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Handelns zu stellen und tief greifende Transformationsprozesse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anzustoßen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Solche Prozesse bergen enorme, auch politische Herausforderungen,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die noch kaum in einer breiteren gesellschaftlichen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Debatte reflektiert werden. Politische Strategieprozesse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können einen wichtigen Beitrag dazu leisten,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eine qualifizierte Diskussion um ökologische Leitplanken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zu führen, solche Leitplanken weiter zu operationalisieren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und politisch verbindlich zu verankern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Das 7. Umweltaktionsprogramm der EU bietet eine aktuelle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Gelegenheit, mittel- und langfristige umweltpolitische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Ziele zu formulieren, fortzuentwickeln und den umweltpolitischen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Handlungsrahmen für die nächste Dekade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abzustecken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Auch in Deutschland könnte ein übergreifendes Umweltprogramm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zur Aufwertung der Umweltpolitik beitragen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und wichtige umweltpolitische Impulse geben. Darüber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hinaus ist das Zielsystem der nationalen Nachhaltigkeitsstrategie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aktualisierungsbedürftig. Die in den Fortschrittsberichten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der Nachhaltigkeitsstrategie dokumentierten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Zielverfehlungen bieten einen Anlass, die Strategie stärker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auf das Erreichen von Umweltzielen auszurichten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Dies gilt auch für thematische Umweltstrategien und für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relevante Strategien anderer Ressorts (z. B. Verkehr,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Landwirtschaft und Bauen)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" w:hAnsi="TimesNewRoman" w:cs="TimesNewRoman"/>
        </w:rPr>
      </w:pPr>
      <w:r w:rsidRPr="00C87A41">
        <w:rPr>
          <w:rFonts w:ascii="TimesNewRoman" w:hAnsi="TimesNewRoman" w:cs="TimesNewRoman"/>
        </w:rPr>
        <w:t>Die staatliche Verantwortung für den Schutz der natürlichen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Lebensgrundlagen kann insbesondere auch durch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institutionelle Vorkehrungen gestärkt werden. Hierzu gehören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der Vorschlag der Einführung einer Umweltintegrationsklausel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nach europäischem Vorbild (Artikel 11</w:t>
      </w:r>
      <w:r>
        <w:rPr>
          <w:rFonts w:ascii="TimesNewRoman" w:hAnsi="TimesNewRoman" w:cs="TimesNewRoman"/>
        </w:rPr>
        <w:t xml:space="preserve"> </w:t>
      </w:r>
      <w:proofErr w:type="spellStart"/>
      <w:r w:rsidRPr="00C87A41">
        <w:rPr>
          <w:rFonts w:ascii="TimesNewRoman" w:hAnsi="TimesNewRoman" w:cs="TimesNewRoman"/>
        </w:rPr>
        <w:t>AEUV</w:t>
      </w:r>
      <w:proofErr w:type="spellEnd"/>
      <w:r w:rsidRPr="00C87A41">
        <w:rPr>
          <w:rFonts w:ascii="TimesNewRoman" w:hAnsi="TimesNewRoman" w:cs="TimesNewRoman"/>
        </w:rPr>
        <w:t>) in das Grundgesetz oder auch die Stärkung des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Umweltressorts im Bundeskabinett (z. B. Einführung eines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suspensiven Widerspruchsrechts des Umweltministeriums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sowie eines Initiativrechts in anderen Geschäftsbereichen)</w:t>
      </w:r>
      <w:r>
        <w:rPr>
          <w:rFonts w:ascii="TimesNewRoman" w:hAnsi="TimesNewRoman" w:cs="TimesNewRoman"/>
        </w:rPr>
        <w:t>.</w:t>
      </w:r>
    </w:p>
    <w:p w:rsidR="00C87A41" w:rsidRDefault="00C87A41" w:rsidP="00C87A41">
      <w:pPr>
        <w:rPr>
          <w:rFonts w:ascii="TimesNewRomanPS-BoldMT" w:hAnsi="TimesNewRomanPS-BoldMT" w:cs="TimesNewRomanPS-BoldMT"/>
          <w:b/>
          <w:bCs/>
        </w:rPr>
      </w:pPr>
      <w:r w:rsidRPr="00C87A41">
        <w:rPr>
          <w:rFonts w:ascii="TimesNewRomanPS-BoldMT" w:hAnsi="TimesNewRomanPS-BoldMT" w:cs="TimesNewRomanPS-BoldMT"/>
          <w:b/>
          <w:bCs/>
        </w:rPr>
        <w:t>Schlusswort</w:t>
      </w:r>
    </w:p>
    <w:p w:rsidR="00080669" w:rsidRPr="00655394" w:rsidRDefault="00C87A41" w:rsidP="009F6FEB">
      <w:pPr>
        <w:autoSpaceDE w:val="0"/>
        <w:autoSpaceDN w:val="0"/>
        <w:adjustRightInd w:val="0"/>
        <w:spacing w:after="0"/>
      </w:pPr>
      <w:r w:rsidRPr="00C87A41">
        <w:rPr>
          <w:rFonts w:ascii="Arial-BoldMT" w:hAnsi="Arial-BoldMT" w:cs="Arial-BoldMT"/>
          <w:b/>
          <w:bCs/>
          <w:sz w:val="19"/>
          <w:szCs w:val="19"/>
        </w:rPr>
        <w:t xml:space="preserve">16. </w:t>
      </w:r>
      <w:r w:rsidRPr="00C87A41">
        <w:rPr>
          <w:rFonts w:ascii="TimesNewRoman" w:hAnsi="TimesNewRoman" w:cs="TimesNewRoman"/>
        </w:rPr>
        <w:t>Angesichts der aktuellen Erkenntnisse über die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Grenzüberschreitungen, die das Wohlstandsmodell der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letzten Jahrhunderte infrage stellen könnten, ist eine Neuorientierung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der Umweltpolitik erforderlich. Eine qualifizierte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Debatte über die Neuorientierung erfordert eine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wissenschaftliche Informationsbasis über die wirtschaftlichen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und gesellschaftlichen Folgen von Grenzüberschreitungen,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Handlungsoptionen zu deren Vermeidung und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eine breite Öffentlichkeit. Ähnlich wie beim Klimaschutz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 xml:space="preserve">sollte es nach Ansicht des </w:t>
      </w:r>
      <w:proofErr w:type="spellStart"/>
      <w:r w:rsidRPr="00C87A41">
        <w:rPr>
          <w:rFonts w:ascii="TimesNewRoman" w:hAnsi="TimesNewRoman" w:cs="TimesNewRoman"/>
        </w:rPr>
        <w:t>SRU</w:t>
      </w:r>
      <w:proofErr w:type="spellEnd"/>
      <w:r w:rsidRPr="00C87A41">
        <w:rPr>
          <w:rFonts w:ascii="TimesNewRoman" w:hAnsi="TimesNewRoman" w:cs="TimesNewRoman"/>
        </w:rPr>
        <w:t xml:space="preserve"> grundsätzlich möglich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sein, auch trotz sehr unterschiedlicher Interessen in der</w:t>
      </w:r>
      <w:r>
        <w:rPr>
          <w:rFonts w:ascii="TimesNewRoman" w:hAnsi="TimesNewRoman" w:cs="TimesNewRoman"/>
        </w:rPr>
        <w:t xml:space="preserve"> </w:t>
      </w:r>
      <w:r w:rsidRPr="00C87A41">
        <w:rPr>
          <w:rFonts w:ascii="TimesNewRoman" w:hAnsi="TimesNewRoman" w:cs="TimesNewRoman"/>
        </w:rPr>
        <w:t>pluralistischen Demokratie einen soliden</w:t>
      </w:r>
      <w:r w:rsidRPr="00C87A41">
        <w:t xml:space="preserve"> </w:t>
      </w:r>
      <w:r w:rsidR="009F6FEB">
        <w:rPr>
          <w:rFonts w:ascii="TimesNewRoman" w:hAnsi="TimesNewRoman" w:cs="TimesNewRoman"/>
        </w:rPr>
        <w:t>Konsens über</w:t>
      </w:r>
      <w:r w:rsidR="009F6FEB">
        <w:rPr>
          <w:rFonts w:ascii="TimesNewRoman" w:hAnsi="TimesNewRoman" w:cs="TimesNewRoman"/>
        </w:rPr>
        <w:t xml:space="preserve"> </w:t>
      </w:r>
      <w:r w:rsidR="009F6FEB">
        <w:rPr>
          <w:rFonts w:ascii="TimesNewRoman" w:hAnsi="TimesNewRoman" w:cs="TimesNewRoman"/>
        </w:rPr>
        <w:t>den Handlungsbedarf herzustellen.</w:t>
      </w:r>
    </w:p>
    <w:sectPr w:rsidR="00080669" w:rsidRPr="006553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D612A"/>
    <w:multiLevelType w:val="hybridMultilevel"/>
    <w:tmpl w:val="D9A64732"/>
    <w:lvl w:ilvl="0" w:tplc="ACFCC19E">
      <w:numFmt w:val="bullet"/>
      <w:pStyle w:val="Listenabsatz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A41"/>
    <w:rsid w:val="00077F74"/>
    <w:rsid w:val="00080669"/>
    <w:rsid w:val="002F4289"/>
    <w:rsid w:val="00365598"/>
    <w:rsid w:val="00547F23"/>
    <w:rsid w:val="006242E8"/>
    <w:rsid w:val="006245EA"/>
    <w:rsid w:val="006327F7"/>
    <w:rsid w:val="00633F95"/>
    <w:rsid w:val="00654B59"/>
    <w:rsid w:val="00655394"/>
    <w:rsid w:val="00681F13"/>
    <w:rsid w:val="00724444"/>
    <w:rsid w:val="00791872"/>
    <w:rsid w:val="007938E9"/>
    <w:rsid w:val="007B22C4"/>
    <w:rsid w:val="009D0E44"/>
    <w:rsid w:val="009F6FEB"/>
    <w:rsid w:val="00A563BA"/>
    <w:rsid w:val="00A71EF8"/>
    <w:rsid w:val="00AA22F4"/>
    <w:rsid w:val="00BD5881"/>
    <w:rsid w:val="00C87A41"/>
    <w:rsid w:val="00CB050E"/>
    <w:rsid w:val="00CB7D10"/>
    <w:rsid w:val="00CC67D7"/>
    <w:rsid w:val="00D066E0"/>
    <w:rsid w:val="00E24C75"/>
    <w:rsid w:val="00E7402D"/>
    <w:rsid w:val="00EC35B9"/>
    <w:rsid w:val="00EE31D7"/>
    <w:rsid w:val="00F241E4"/>
    <w:rsid w:val="00F85F52"/>
    <w:rsid w:val="00F9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Calibri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066E0"/>
  </w:style>
  <w:style w:type="paragraph" w:styleId="berschrift1">
    <w:name w:val="heading 1"/>
    <w:basedOn w:val="Standard"/>
    <w:link w:val="berschrift1Zchn"/>
    <w:uiPriority w:val="9"/>
    <w:qFormat/>
    <w:rsid w:val="00D066E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semiHidden/>
    <w:unhideWhenUsed/>
    <w:qFormat/>
    <w:rsid w:val="00D066E0"/>
    <w:pPr>
      <w:spacing w:before="72" w:after="72"/>
      <w:outlineLvl w:val="1"/>
    </w:pPr>
    <w:rPr>
      <w:rFonts w:ascii="Georgia" w:eastAsia="Times New Roman" w:hAnsi="Georgia" w:cs="Times New Roman"/>
      <w:b/>
      <w:bCs/>
      <w:color w:val="000000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066E0"/>
    <w:rPr>
      <w:rFonts w:ascii="Georgia" w:eastAsia="Times New Roman" w:hAnsi="Georgia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724444"/>
    <w:pPr>
      <w:numPr>
        <w:numId w:val="2"/>
      </w:numPr>
      <w:contextualSpacing/>
    </w:pPr>
    <w:rPr>
      <w:rFonts w:cs="Times New Roman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066E0"/>
    <w:rPr>
      <w:rFonts w:ascii="Times New Roman" w:eastAsia="Times New Roman" w:hAnsi="Times New Roman"/>
      <w:b/>
      <w:bCs/>
      <w:color w:val="auto"/>
      <w:kern w:val="36"/>
      <w:sz w:val="48"/>
      <w:szCs w:val="48"/>
      <w:lang w:eastAsia="de-DE"/>
    </w:rPr>
  </w:style>
  <w:style w:type="table" w:styleId="Tabellenraster">
    <w:name w:val="Table Grid"/>
    <w:basedOn w:val="NormaleTabelle"/>
    <w:uiPriority w:val="59"/>
    <w:rsid w:val="00C87A4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Calibri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066E0"/>
  </w:style>
  <w:style w:type="paragraph" w:styleId="berschrift1">
    <w:name w:val="heading 1"/>
    <w:basedOn w:val="Standard"/>
    <w:link w:val="berschrift1Zchn"/>
    <w:uiPriority w:val="9"/>
    <w:qFormat/>
    <w:rsid w:val="00D066E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semiHidden/>
    <w:unhideWhenUsed/>
    <w:qFormat/>
    <w:rsid w:val="00D066E0"/>
    <w:pPr>
      <w:spacing w:before="72" w:after="72"/>
      <w:outlineLvl w:val="1"/>
    </w:pPr>
    <w:rPr>
      <w:rFonts w:ascii="Georgia" w:eastAsia="Times New Roman" w:hAnsi="Georgia" w:cs="Times New Roman"/>
      <w:b/>
      <w:bCs/>
      <w:color w:val="000000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066E0"/>
    <w:rPr>
      <w:rFonts w:ascii="Georgia" w:eastAsia="Times New Roman" w:hAnsi="Georgia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724444"/>
    <w:pPr>
      <w:numPr>
        <w:numId w:val="2"/>
      </w:numPr>
      <w:contextualSpacing/>
    </w:pPr>
    <w:rPr>
      <w:rFonts w:cs="Times New Roman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066E0"/>
    <w:rPr>
      <w:rFonts w:ascii="Times New Roman" w:eastAsia="Times New Roman" w:hAnsi="Times New Roman"/>
      <w:b/>
      <w:bCs/>
      <w:color w:val="auto"/>
      <w:kern w:val="36"/>
      <w:sz w:val="48"/>
      <w:szCs w:val="48"/>
      <w:lang w:eastAsia="de-DE"/>
    </w:rPr>
  </w:style>
  <w:style w:type="table" w:styleId="Tabellenraster">
    <w:name w:val="Table Grid"/>
    <w:basedOn w:val="NormaleTabelle"/>
    <w:uiPriority w:val="59"/>
    <w:rsid w:val="00C87A4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4594</Words>
  <Characters>28945</Characters>
  <Application>Microsoft Office Word</Application>
  <DocSecurity>0</DocSecurity>
  <Lines>241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Gerhard Hofmann</dc:creator>
  <cp:lastModifiedBy>Gerhard Hofmann</cp:lastModifiedBy>
  <cp:revision>1</cp:revision>
  <dcterms:created xsi:type="dcterms:W3CDTF">2012-10-10T11:48:00Z</dcterms:created>
  <dcterms:modified xsi:type="dcterms:W3CDTF">2012-10-10T12:02:00Z</dcterms:modified>
</cp:coreProperties>
</file>